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98" w:rsidRDefault="00BF55E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0C0998" w:rsidRDefault="000C099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0C0998">
        <w:trPr>
          <w:trHeight w:val="242"/>
        </w:trPr>
        <w:tc>
          <w:tcPr>
            <w:tcW w:w="1458" w:type="dxa"/>
            <w:gridSpan w:val="2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0C0998">
        <w:trPr>
          <w:trHeight w:val="242"/>
        </w:trPr>
        <w:tc>
          <w:tcPr>
            <w:tcW w:w="1458" w:type="dxa"/>
            <w:gridSpan w:val="2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0C0998">
        <w:trPr>
          <w:trHeight w:val="315"/>
        </w:trPr>
        <w:tc>
          <w:tcPr>
            <w:tcW w:w="1458" w:type="dxa"/>
            <w:gridSpan w:val="2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0C0998" w:rsidRDefault="000C099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C0998" w:rsidRDefault="000C0998">
            <w:pPr>
              <w:jc w:val="left"/>
            </w:pPr>
          </w:p>
        </w:tc>
      </w:tr>
      <w:tr w:rsidR="000C0998">
        <w:trPr>
          <w:trHeight w:val="333"/>
        </w:trPr>
        <w:tc>
          <w:tcPr>
            <w:tcW w:w="1458" w:type="dxa"/>
            <w:gridSpan w:val="2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C0998" w:rsidRDefault="00BF55EE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0C0998">
        <w:trPr>
          <w:trHeight w:val="2445"/>
        </w:trPr>
        <w:tc>
          <w:tcPr>
            <w:tcW w:w="894" w:type="dxa"/>
            <w:vAlign w:val="center"/>
          </w:tcPr>
          <w:p w:rsidR="000C0998" w:rsidRDefault="00BF55E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25599" w:rsidRPr="00F25599" w:rsidRDefault="00F25599">
            <w:pPr>
              <w:rPr>
                <w:b/>
                <w:bCs/>
                <w:iCs/>
                <w:szCs w:val="21"/>
              </w:rPr>
            </w:pPr>
            <w:r w:rsidRPr="00F25599">
              <w:rPr>
                <w:rFonts w:hint="eastAsia"/>
                <w:b/>
                <w:bCs/>
                <w:iCs/>
                <w:szCs w:val="21"/>
              </w:rPr>
              <w:t>菜单：【病历】</w:t>
            </w:r>
            <w:r w:rsidRPr="00F25599">
              <w:rPr>
                <w:rFonts w:hint="eastAsia"/>
                <w:b/>
                <w:bCs/>
                <w:iCs/>
                <w:szCs w:val="21"/>
              </w:rPr>
              <w:t>--&gt;</w:t>
            </w:r>
            <w:r w:rsidRPr="00F25599"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0C0998" w:rsidRDefault="00F25599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新增</w:t>
            </w:r>
            <w:r w:rsidR="00BF55EE">
              <w:rPr>
                <w:rFonts w:hint="eastAsia"/>
                <w:b/>
                <w:bCs/>
                <w:iCs/>
                <w:szCs w:val="21"/>
              </w:rPr>
              <w:t>功能：就诊日期</w:t>
            </w:r>
            <w:r w:rsidR="00BF55EE">
              <w:rPr>
                <w:rFonts w:hint="eastAsia"/>
                <w:b/>
                <w:bCs/>
                <w:iCs/>
                <w:szCs w:val="21"/>
              </w:rPr>
              <w:t>/</w:t>
            </w:r>
            <w:r w:rsidR="00BF55EE">
              <w:rPr>
                <w:rFonts w:hint="eastAsia"/>
                <w:b/>
                <w:bCs/>
                <w:iCs/>
                <w:szCs w:val="21"/>
              </w:rPr>
              <w:t>时间控制功能</w:t>
            </w:r>
          </w:p>
          <w:p w:rsidR="000C0998" w:rsidRDefault="00BF55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）目前系统默认读取当前挂号时间，但不允许将日期往前修改，对于急诊跨零点就诊的病人则不适用。（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）保存日期、时间后，系统首先提示“病历保存成功”，后鼠标点击病历其他部位时，再提示相关操作错误内容，操作错误内容提示应提前。</w:t>
            </w:r>
          </w:p>
          <w:p w:rsidR="000C0998" w:rsidRPr="00683FDE" w:rsidRDefault="00BF55EE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）对于就诊类别是“急诊”的病人，允许日期往前一日修改。（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）对于日期、时间有误的，应在保存病历时，即刻提示，修改正确后方可保存成功。</w:t>
            </w:r>
            <w:bookmarkStart w:id="0" w:name="_GoBack"/>
            <w:bookmarkEnd w:id="0"/>
          </w:p>
          <w:p w:rsidR="000C0998" w:rsidRDefault="00BF55EE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0C0998" w:rsidRDefault="00BF55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0C0998">
        <w:trPr>
          <w:trHeight w:val="669"/>
        </w:trPr>
        <w:tc>
          <w:tcPr>
            <w:tcW w:w="1458" w:type="dxa"/>
            <w:gridSpan w:val="2"/>
          </w:tcPr>
          <w:p w:rsidR="000C0998" w:rsidRDefault="00BF5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C0998" w:rsidRDefault="00BF55E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C0998">
        <w:trPr>
          <w:trHeight w:val="1095"/>
        </w:trPr>
        <w:tc>
          <w:tcPr>
            <w:tcW w:w="894" w:type="dxa"/>
            <w:vAlign w:val="center"/>
          </w:tcPr>
          <w:p w:rsidR="000C0998" w:rsidRDefault="00BF55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C0998" w:rsidRDefault="00683FDE">
            <w:pPr>
              <w:jc w:val="left"/>
              <w:rPr>
                <w:b/>
                <w:i/>
                <w:szCs w:val="21"/>
              </w:rPr>
            </w:pPr>
            <w:r>
              <w:rPr>
                <w:rFonts w:hint="eastAsia"/>
                <w:iCs/>
                <w:szCs w:val="21"/>
              </w:rPr>
              <w:t>按需求内容实现</w:t>
            </w:r>
          </w:p>
        </w:tc>
      </w:tr>
      <w:tr w:rsidR="000C0998">
        <w:trPr>
          <w:trHeight w:val="844"/>
        </w:trPr>
        <w:tc>
          <w:tcPr>
            <w:tcW w:w="2157" w:type="dxa"/>
            <w:gridSpan w:val="3"/>
            <w:vAlign w:val="center"/>
          </w:tcPr>
          <w:p w:rsidR="000C0998" w:rsidRDefault="00BF55E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C0998" w:rsidRDefault="00BF55E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0C0998" w:rsidRDefault="00F25599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25599" w:rsidRDefault="00F25599">
      <w:r>
        <w:rPr>
          <w:noProof/>
        </w:rPr>
        <w:drawing>
          <wp:inline distT="0" distB="0" distL="114300" distR="114300" wp14:anchorId="26B3B9D6" wp14:editId="57ECFE30">
            <wp:extent cx="2371725" cy="2428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C3E7971" wp14:editId="43C5B50C">
            <wp:extent cx="2426970" cy="2448560"/>
            <wp:effectExtent l="0" t="0" r="1143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98" w:rsidRDefault="000C0998"/>
    <w:p w:rsidR="000C0998" w:rsidRDefault="000C0998"/>
    <w:sectPr w:rsidR="000C0998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93B" w:rsidRDefault="0062593B">
      <w:r>
        <w:separator/>
      </w:r>
    </w:p>
  </w:endnote>
  <w:endnote w:type="continuationSeparator" w:id="0">
    <w:p w:rsidR="0062593B" w:rsidRDefault="006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98" w:rsidRDefault="00BF55EE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C0998" w:rsidRDefault="000C0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93B" w:rsidRDefault="0062593B">
      <w:r>
        <w:separator/>
      </w:r>
    </w:p>
  </w:footnote>
  <w:footnote w:type="continuationSeparator" w:id="0">
    <w:p w:rsidR="0062593B" w:rsidRDefault="0062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98" w:rsidRDefault="000C099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C0998" w:rsidRDefault="000C0998">
    <w:pPr>
      <w:pStyle w:val="a6"/>
      <w:jc w:val="right"/>
    </w:pPr>
  </w:p>
  <w:p w:rsidR="000C0998" w:rsidRDefault="000C0998">
    <w:pPr>
      <w:pStyle w:val="a6"/>
      <w:jc w:val="right"/>
    </w:pPr>
  </w:p>
  <w:p w:rsidR="000C0998" w:rsidRDefault="000C09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98" w:rsidRDefault="000C099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0C0998">
      <w:trPr>
        <w:cantSplit/>
      </w:trPr>
      <w:tc>
        <w:tcPr>
          <w:tcW w:w="1158" w:type="dxa"/>
        </w:tcPr>
        <w:p w:rsidR="000C0998" w:rsidRDefault="00BF55EE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C0998" w:rsidRDefault="00BF55EE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C0998" w:rsidRDefault="00BF55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C0998" w:rsidRDefault="00BF55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C0998" w:rsidRDefault="000C09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0C0998"/>
    <w:rsid w:val="00166A42"/>
    <w:rsid w:val="00180AA3"/>
    <w:rsid w:val="002502B9"/>
    <w:rsid w:val="002E7C2C"/>
    <w:rsid w:val="004F434B"/>
    <w:rsid w:val="0053503B"/>
    <w:rsid w:val="00565C9E"/>
    <w:rsid w:val="0062593B"/>
    <w:rsid w:val="00683387"/>
    <w:rsid w:val="00683FDE"/>
    <w:rsid w:val="00727683"/>
    <w:rsid w:val="0080252E"/>
    <w:rsid w:val="00891E03"/>
    <w:rsid w:val="008B25BE"/>
    <w:rsid w:val="00902F3F"/>
    <w:rsid w:val="00A54198"/>
    <w:rsid w:val="00BE3A64"/>
    <w:rsid w:val="00BF55EE"/>
    <w:rsid w:val="00CB26C1"/>
    <w:rsid w:val="00CC4BDD"/>
    <w:rsid w:val="00D63478"/>
    <w:rsid w:val="00DB44A6"/>
    <w:rsid w:val="00EF4CBE"/>
    <w:rsid w:val="00F25599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B8302"/>
  <w15:docId w15:val="{74B3A4E0-C922-450D-843C-0B7F7266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2020-02-18T08:29:00Z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