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</w:t>
            </w:r>
            <w:r>
              <w:rPr>
                <w:rFonts w:hint="default" w:eastAsia="宋体"/>
                <w:lang w:val="en-US" w:eastAsia="zh-CN"/>
              </w:rPr>
              <w:t>收费9.0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ZYSF9-20210927-001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【需求菜单】：电子病案首页发送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【需求描述】：当前显示的医保中心达不到预期的使用目的，不方便使用，需求显示更下一级中的医保中心，例如联网异地下的三明分中心，莆田分中心等</w:t>
            </w:r>
            <w:r>
              <w:rPr>
                <w:rFonts w:hint="eastAsia"/>
                <w:iCs/>
                <w:szCs w:val="21"/>
                <w:lang w:val="en-US" w:eastAsia="zh-CN"/>
              </w:rPr>
              <w:t>，同时查询的结果内容新增医保名称列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8815" cy="1986915"/>
            <wp:effectExtent l="0" t="0" r="13335" b="1333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7F6B03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A6E6FDB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228</Characters>
  <Lines>4</Lines>
  <Paragraphs>1</Paragraphs>
  <TotalTime>4</TotalTime>
  <ScaleCrop>false</ScaleCrop>
  <LinksUpToDate>false</LinksUpToDate>
  <CharactersWithSpaces>956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2021-09-27T09:38:42Z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