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
        <w:keepNext w:val="0"/>
        <w:keepLines w:val="0"/>
        <w:pageBreakBefore w:val="0"/>
        <w:widowControl w:val="0"/>
        <w:kinsoku/>
        <w:wordWrap/>
        <w:overflowPunct/>
        <w:topLinePunct w:val="0"/>
        <w:autoSpaceDE/>
        <w:autoSpaceDN/>
        <w:bidi w:val="0"/>
        <w:adjustRightInd/>
        <w:snapToGrid/>
        <w:spacing w:before="120" w:line="240" w:lineRule="auto"/>
        <w:ind w:left="0" w:leftChars="0" w:firstLine="0" w:firstLineChars="0"/>
        <w:jc w:val="center"/>
        <w:textAlignment w:val="auto"/>
        <w:outlineLvl w:val="0"/>
        <w:rPr>
          <w:rFonts w:hint="eastAsia" w:ascii="方正小标宋简体" w:hAnsi="方正小标宋简体" w:eastAsia="方正小标宋简体" w:cs="方正小标宋简体"/>
          <w:sz w:val="40"/>
          <w:szCs w:val="28"/>
          <w:lang w:val="en-US" w:eastAsia="zh-Hans"/>
        </w:rPr>
      </w:pPr>
      <w:bookmarkStart w:id="2" w:name="_GoBack"/>
      <w:r>
        <w:rPr>
          <w:rFonts w:hint="eastAsia" w:ascii="方正小标宋简体" w:hAnsi="方正小标宋简体" w:eastAsia="方正小标宋简体" w:cs="方正小标宋简体"/>
          <w:sz w:val="40"/>
          <w:szCs w:val="28"/>
          <w:lang w:val="en-US" w:eastAsia="zh-Hans"/>
        </w:rPr>
        <w:t>定点机构接入流程说明</w:t>
      </w:r>
    </w:p>
    <w:bookmarkEnd w:id="2"/>
    <w:p>
      <w:pPr>
        <w:pStyle w:val="4"/>
        <w:numPr>
          <w:ilvl w:val="0"/>
          <w:numId w:val="0"/>
        </w:numPr>
        <w:snapToGrid w:val="0"/>
        <w:spacing w:line="440" w:lineRule="exact"/>
        <w:ind w:left="0" w:leftChars="0" w:firstLine="643" w:firstLineChars="200"/>
        <w:rPr>
          <w:rFonts w:ascii="黑体" w:hAnsi="黑体"/>
        </w:rPr>
      </w:pPr>
      <w:bookmarkStart w:id="0" w:name="_Toc89634400"/>
      <w:bookmarkStart w:id="1" w:name="_Toc89793664"/>
      <w:r>
        <w:rPr>
          <w:rFonts w:hint="eastAsia" w:ascii="黑体" w:hAnsi="黑体"/>
          <w:lang w:val="en-US" w:eastAsia="zh-Hans"/>
        </w:rPr>
        <w:t>一</w:t>
      </w:r>
      <w:r>
        <w:rPr>
          <w:rFonts w:hint="default" w:ascii="黑体" w:hAnsi="黑体"/>
          <w:lang w:eastAsia="zh-Hans"/>
        </w:rPr>
        <w:t>、</w:t>
      </w:r>
      <w:r>
        <w:rPr>
          <w:rFonts w:hint="eastAsia" w:ascii="黑体" w:hAnsi="黑体"/>
        </w:rPr>
        <w:t>定点</w:t>
      </w:r>
      <w:bookmarkEnd w:id="0"/>
      <w:bookmarkEnd w:id="1"/>
      <w:r>
        <w:rPr>
          <w:rFonts w:hint="eastAsia" w:ascii="黑体" w:hAnsi="黑体"/>
        </w:rPr>
        <w:t>医疗机构业务流程</w:t>
      </w:r>
    </w:p>
    <w:p>
      <w:pPr>
        <w:pStyle w:val="5"/>
        <w:numPr>
          <w:ilvl w:val="0"/>
          <w:numId w:val="0"/>
        </w:numPr>
        <w:tabs>
          <w:tab w:val="left" w:pos="1080"/>
        </w:tabs>
        <w:ind w:left="0" w:leftChars="0" w:firstLine="562" w:firstLineChars="200"/>
        <w:rPr>
          <w:rFonts w:hAnsi="黑体"/>
          <w:sz w:val="28"/>
          <w:szCs w:val="28"/>
        </w:rPr>
      </w:pPr>
      <w:r>
        <w:rPr>
          <w:rFonts w:hint="default" w:hAnsi="黑体"/>
          <w:sz w:val="28"/>
          <w:szCs w:val="28"/>
        </w:rPr>
        <w:t>（</w:t>
      </w:r>
      <w:r>
        <w:rPr>
          <w:rFonts w:hint="eastAsia" w:hAnsi="黑体"/>
          <w:sz w:val="28"/>
          <w:szCs w:val="28"/>
          <w:lang w:val="en-US" w:eastAsia="zh-Hans"/>
        </w:rPr>
        <w:t>一</w:t>
      </w:r>
      <w:r>
        <w:rPr>
          <w:rFonts w:hint="default" w:hAnsi="黑体"/>
          <w:sz w:val="28"/>
          <w:szCs w:val="28"/>
        </w:rPr>
        <w:t>）</w:t>
      </w:r>
      <w:r>
        <w:rPr>
          <w:rFonts w:hint="eastAsia" w:hAnsi="黑体"/>
          <w:sz w:val="28"/>
          <w:szCs w:val="28"/>
        </w:rPr>
        <w:t>业务流程图</w:t>
      </w:r>
    </w:p>
    <w:p>
      <w:pPr>
        <w:pStyle w:val="10"/>
        <w:bidi w:val="0"/>
        <w:jc w:val="center"/>
      </w:pPr>
      <w:r>
        <w:object>
          <v:shape id="_x0000_i1025" o:spt="75" type="#_x0000_t75" style="height:571.85pt;width:315.9pt;" o:ole="t" filled="f" o:preferrelative="t" stroked="f" coordsize="21600,21600">
            <v:path/>
            <v:fill on="f" focussize="0,0"/>
            <v:stroke on="f"/>
            <v:imagedata r:id="rId7" o:title=""/>
            <o:lock v:ext="edit" aspectratio="t"/>
            <w10:wrap type="none"/>
            <w10:anchorlock/>
          </v:shape>
          <o:OLEObject Type="Embed" ProgID="Visio.Drawing.15" ShapeID="_x0000_i1025" DrawAspect="Content" ObjectID="_1468075725" r:id="rId6">
            <o:LockedField>false</o:LockedField>
          </o:OLEObject>
        </w:object>
      </w:r>
    </w:p>
    <w:p>
      <w:pPr>
        <w:pStyle w:val="5"/>
        <w:bidi w:val="0"/>
      </w:pPr>
      <w:r>
        <w:rPr>
          <w:rFonts w:hint="default"/>
          <w:lang w:eastAsia="zh-Hans"/>
        </w:rPr>
        <w:t>（</w:t>
      </w:r>
      <w:r>
        <w:rPr>
          <w:rFonts w:hint="eastAsia"/>
          <w:lang w:val="en-US" w:eastAsia="zh-Hans"/>
        </w:rPr>
        <w:t>二</w:t>
      </w:r>
      <w:r>
        <w:rPr>
          <w:rFonts w:hint="default"/>
          <w:lang w:eastAsia="zh-Hans"/>
        </w:rPr>
        <w:t>）</w:t>
      </w:r>
      <w:r>
        <w:rPr>
          <w:rFonts w:hint="eastAsia"/>
        </w:rPr>
        <w:t>流程说明</w:t>
      </w:r>
    </w:p>
    <w:p>
      <w:pPr>
        <w:numPr>
          <w:ilvl w:val="0"/>
          <w:numId w:val="0"/>
        </w:numPr>
        <w:bidi w:val="0"/>
        <w:ind w:left="0" w:leftChars="0" w:firstLine="643" w:firstLineChars="200"/>
        <w:rPr>
          <w:b/>
          <w:bCs/>
        </w:rPr>
      </w:pPr>
      <w:r>
        <w:rPr>
          <w:rFonts w:hint="default"/>
          <w:b/>
          <w:bCs/>
        </w:rPr>
        <w:t>1.</w:t>
      </w:r>
      <w:r>
        <w:rPr>
          <w:rFonts w:hint="eastAsia"/>
          <w:b/>
          <w:bCs/>
        </w:rPr>
        <w:t>出示就诊凭证：</w:t>
      </w:r>
    </w:p>
    <w:p>
      <w:pPr>
        <w:numPr>
          <w:ilvl w:val="0"/>
          <w:numId w:val="0"/>
        </w:numPr>
        <w:bidi w:val="0"/>
        <w:ind w:left="0" w:leftChars="0" w:firstLine="640" w:firstLineChars="200"/>
      </w:pPr>
      <w:r>
        <w:rPr>
          <w:rFonts w:hint="eastAsia"/>
        </w:rPr>
        <w:t>患者在院内线下就诊时须出示个人医保电子凭证二维码、身份证或社保卡；</w:t>
      </w:r>
    </w:p>
    <w:p>
      <w:pPr>
        <w:numPr>
          <w:ilvl w:val="0"/>
          <w:numId w:val="0"/>
        </w:numPr>
        <w:bidi w:val="0"/>
        <w:ind w:left="0" w:leftChars="0" w:firstLine="640" w:firstLineChars="200"/>
      </w:pPr>
      <w:r>
        <w:rPr>
          <w:rFonts w:hint="default"/>
        </w:rPr>
        <w:t>（1）</w:t>
      </w:r>
      <w:r>
        <w:rPr>
          <w:rFonts w:hint="eastAsia"/>
        </w:rPr>
        <w:t>医保电子凭证就诊：调用医保电子凭证解码接口，获取人员身份信息，医师开具处方；</w:t>
      </w:r>
    </w:p>
    <w:p>
      <w:pPr>
        <w:numPr>
          <w:ilvl w:val="0"/>
          <w:numId w:val="0"/>
        </w:numPr>
        <w:bidi w:val="0"/>
        <w:ind w:left="0" w:leftChars="0" w:firstLine="640" w:firstLineChars="200"/>
        <w:rPr>
          <w:rFonts w:hint="eastAsia"/>
        </w:rPr>
      </w:pPr>
      <w:r>
        <w:rPr>
          <w:rFonts w:hint="default"/>
        </w:rPr>
        <w:t>（2）</w:t>
      </w:r>
      <w:r>
        <w:rPr>
          <w:rFonts w:hint="eastAsia"/>
        </w:rPr>
        <w:t>身份证、社保卡就诊：身份证、社保卡读卡，获取人员身份信息；</w:t>
      </w:r>
    </w:p>
    <w:p>
      <w:pPr>
        <w:numPr>
          <w:ilvl w:val="0"/>
          <w:numId w:val="0"/>
        </w:numPr>
        <w:bidi w:val="0"/>
        <w:ind w:left="0" w:leftChars="0" w:firstLine="643" w:firstLineChars="200"/>
        <w:rPr>
          <w:b/>
          <w:bCs/>
        </w:rPr>
      </w:pPr>
      <w:r>
        <w:rPr>
          <w:rFonts w:hint="default"/>
          <w:b/>
          <w:bCs/>
        </w:rPr>
        <w:t>2</w:t>
      </w:r>
      <w:r>
        <w:rPr>
          <w:rFonts w:hint="eastAsia"/>
          <w:b/>
          <w:bCs/>
          <w:lang w:val="en-US" w:eastAsia="zh-Hans"/>
        </w:rPr>
        <w:t>.</w:t>
      </w:r>
      <w:r>
        <w:rPr>
          <w:rFonts w:hint="eastAsia"/>
          <w:b/>
          <w:bCs/>
        </w:rPr>
        <w:t>医保门诊挂号：</w:t>
      </w:r>
    </w:p>
    <w:p>
      <w:pPr>
        <w:numPr>
          <w:ilvl w:val="0"/>
          <w:numId w:val="0"/>
        </w:numPr>
        <w:bidi w:val="0"/>
        <w:ind w:left="0" w:leftChars="0" w:firstLine="640" w:firstLineChars="200"/>
      </w:pPr>
      <w:r>
        <w:rPr>
          <w:rFonts w:hint="eastAsia"/>
        </w:rPr>
        <w:t>患者在院内进行医保门诊挂号和医保就诊登记；</w:t>
      </w:r>
    </w:p>
    <w:p>
      <w:pPr>
        <w:numPr>
          <w:ilvl w:val="0"/>
          <w:numId w:val="0"/>
        </w:numPr>
        <w:bidi w:val="0"/>
        <w:ind w:left="0" w:leftChars="0" w:firstLine="643" w:firstLineChars="200"/>
        <w:rPr>
          <w:b/>
          <w:bCs/>
        </w:rPr>
      </w:pPr>
      <w:r>
        <w:rPr>
          <w:rFonts w:hint="default"/>
          <w:b/>
          <w:bCs/>
        </w:rPr>
        <w:t>3</w:t>
      </w:r>
      <w:r>
        <w:rPr>
          <w:rFonts w:hint="eastAsia"/>
          <w:b/>
          <w:bCs/>
          <w:lang w:val="en-US" w:eastAsia="zh-Hans"/>
        </w:rPr>
        <w:t>.</w:t>
      </w:r>
      <w:r>
        <w:rPr>
          <w:rFonts w:hint="eastAsia"/>
          <w:b/>
          <w:bCs/>
        </w:rPr>
        <w:t>就诊医师开方：</w:t>
      </w:r>
    </w:p>
    <w:p>
      <w:pPr>
        <w:numPr>
          <w:ilvl w:val="0"/>
          <w:numId w:val="0"/>
        </w:numPr>
        <w:bidi w:val="0"/>
        <w:ind w:left="0" w:leftChars="0" w:firstLine="640" w:firstLineChars="200"/>
      </w:pPr>
      <w:r>
        <w:rPr>
          <w:rFonts w:hint="eastAsia"/>
        </w:rPr>
        <w:t>医师根据患者病情需要，为患者开具符合省医保“双通道”政策的电子处方。</w:t>
      </w:r>
    </w:p>
    <w:p>
      <w:pPr>
        <w:numPr>
          <w:ilvl w:val="0"/>
          <w:numId w:val="0"/>
        </w:numPr>
        <w:bidi w:val="0"/>
        <w:ind w:left="0" w:leftChars="0" w:firstLine="643" w:firstLineChars="200"/>
        <w:rPr>
          <w:b/>
          <w:bCs/>
        </w:rPr>
      </w:pPr>
      <w:r>
        <w:rPr>
          <w:rFonts w:hint="default"/>
          <w:b/>
          <w:bCs/>
        </w:rPr>
        <w:t>4</w:t>
      </w:r>
      <w:r>
        <w:rPr>
          <w:rFonts w:hint="eastAsia"/>
          <w:b/>
          <w:bCs/>
          <w:lang w:val="en-US" w:eastAsia="zh-Hans"/>
        </w:rPr>
        <w:t>.</w:t>
      </w:r>
      <w:r>
        <w:rPr>
          <w:rFonts w:hint="eastAsia"/>
          <w:b/>
          <w:bCs/>
        </w:rPr>
        <w:t>处方药品目录匹配：</w:t>
      </w:r>
    </w:p>
    <w:p>
      <w:pPr>
        <w:numPr>
          <w:ilvl w:val="0"/>
          <w:numId w:val="0"/>
        </w:numPr>
        <w:bidi w:val="0"/>
        <w:ind w:left="0" w:leftChars="0" w:firstLine="640" w:firstLineChars="200"/>
      </w:pPr>
      <w:r>
        <w:rPr>
          <w:rFonts w:hint="eastAsia"/>
        </w:rPr>
        <w:t>医师开具处方时，院内系统须维护好的省医保“双通道”处方范围内药品目录与本院可开具的药品目录映射关系，满足条件的药品可以进行处方开具；</w:t>
      </w:r>
    </w:p>
    <w:p>
      <w:pPr>
        <w:numPr>
          <w:ilvl w:val="0"/>
          <w:numId w:val="0"/>
        </w:numPr>
        <w:bidi w:val="0"/>
        <w:ind w:left="0" w:leftChars="0" w:firstLine="643" w:firstLineChars="200"/>
        <w:rPr>
          <w:b/>
          <w:bCs/>
        </w:rPr>
      </w:pPr>
      <w:r>
        <w:rPr>
          <w:rFonts w:hint="default"/>
          <w:b/>
          <w:bCs/>
        </w:rPr>
        <w:t>5</w:t>
      </w:r>
      <w:r>
        <w:rPr>
          <w:rFonts w:hint="eastAsia"/>
          <w:b/>
          <w:bCs/>
          <w:lang w:val="en-US" w:eastAsia="zh-Hans"/>
        </w:rPr>
        <w:t>.</w:t>
      </w:r>
      <w:r>
        <w:rPr>
          <w:rFonts w:hint="eastAsia"/>
          <w:b/>
          <w:bCs/>
        </w:rPr>
        <w:t>电子处方上传预核验：</w:t>
      </w:r>
    </w:p>
    <w:p>
      <w:pPr>
        <w:numPr>
          <w:ilvl w:val="0"/>
          <w:numId w:val="0"/>
        </w:numPr>
        <w:bidi w:val="0"/>
        <w:ind w:left="0" w:leftChars="0" w:firstLine="640" w:firstLineChars="200"/>
      </w:pPr>
      <w:r>
        <w:rPr>
          <w:rFonts w:hint="eastAsia"/>
        </w:rPr>
        <w:t>调用医保电子处方中心的“电子处方上传预核验”服务，该服务会对上传的处方明细信息进行核验，核验通过后返回唯一的医保电子处方编号及处方追溯码；</w:t>
      </w:r>
    </w:p>
    <w:p>
      <w:pPr>
        <w:numPr>
          <w:ilvl w:val="0"/>
          <w:numId w:val="0"/>
        </w:numPr>
        <w:bidi w:val="0"/>
        <w:ind w:left="0" w:leftChars="0" w:firstLine="643" w:firstLineChars="200"/>
        <w:rPr>
          <w:b/>
          <w:bCs/>
        </w:rPr>
      </w:pPr>
      <w:r>
        <w:rPr>
          <w:rFonts w:hint="default"/>
          <w:b/>
          <w:bCs/>
        </w:rPr>
        <w:t>6</w:t>
      </w:r>
      <w:r>
        <w:rPr>
          <w:rFonts w:hint="eastAsia"/>
          <w:b/>
          <w:bCs/>
          <w:lang w:val="en-US" w:eastAsia="zh-Hans"/>
        </w:rPr>
        <w:t>.</w:t>
      </w:r>
      <w:r>
        <w:rPr>
          <w:rFonts w:hint="eastAsia"/>
          <w:b/>
          <w:bCs/>
        </w:rPr>
        <w:t>医师签名</w:t>
      </w:r>
    </w:p>
    <w:p>
      <w:pPr>
        <w:numPr>
          <w:ilvl w:val="0"/>
          <w:numId w:val="0"/>
        </w:numPr>
        <w:bidi w:val="0"/>
        <w:ind w:left="0" w:leftChars="0" w:firstLine="640" w:firstLineChars="200"/>
      </w:pPr>
      <w:r>
        <w:rPr>
          <w:rFonts w:hint="eastAsia"/>
        </w:rPr>
        <w:t>院内系统对生成的电子处方文件（PDF或OFD）进行医师签名。</w:t>
      </w:r>
    </w:p>
    <w:p>
      <w:pPr>
        <w:numPr>
          <w:ilvl w:val="0"/>
          <w:numId w:val="0"/>
        </w:numPr>
        <w:bidi w:val="0"/>
        <w:ind w:left="0" w:leftChars="0" w:firstLine="643" w:firstLineChars="200"/>
        <w:rPr>
          <w:b/>
          <w:bCs/>
        </w:rPr>
      </w:pPr>
      <w:r>
        <w:rPr>
          <w:rFonts w:hint="default"/>
          <w:b/>
          <w:bCs/>
        </w:rPr>
        <w:t>7</w:t>
      </w:r>
      <w:r>
        <w:rPr>
          <w:rFonts w:hint="eastAsia"/>
          <w:b/>
          <w:bCs/>
          <w:lang w:val="en-US" w:eastAsia="zh-Hans"/>
        </w:rPr>
        <w:t>.</w:t>
      </w:r>
      <w:r>
        <w:rPr>
          <w:rFonts w:hint="eastAsia"/>
          <w:b/>
          <w:bCs/>
        </w:rPr>
        <w:t>院内药师审方：</w:t>
      </w:r>
    </w:p>
    <w:p>
      <w:pPr>
        <w:numPr>
          <w:ilvl w:val="0"/>
          <w:numId w:val="0"/>
        </w:numPr>
        <w:bidi w:val="0"/>
        <w:ind w:left="0" w:leftChars="0" w:firstLine="640" w:firstLineChars="200"/>
      </w:pPr>
      <w:r>
        <w:rPr>
          <w:rFonts w:hint="eastAsia"/>
        </w:rPr>
        <w:t>院内药房药师对患者授权的电子处方进行审核，审核不通过的通过院内通知渠道通知到患者；</w:t>
      </w:r>
    </w:p>
    <w:p>
      <w:pPr>
        <w:numPr>
          <w:ilvl w:val="0"/>
          <w:numId w:val="0"/>
        </w:numPr>
        <w:bidi w:val="0"/>
        <w:ind w:left="0" w:leftChars="0" w:firstLine="643" w:firstLineChars="200"/>
        <w:rPr>
          <w:b/>
          <w:bCs/>
        </w:rPr>
      </w:pPr>
      <w:r>
        <w:rPr>
          <w:rFonts w:hint="default"/>
          <w:b/>
          <w:bCs/>
        </w:rPr>
        <w:t>8</w:t>
      </w:r>
      <w:r>
        <w:rPr>
          <w:rFonts w:hint="eastAsia"/>
          <w:b/>
          <w:bCs/>
          <w:lang w:val="en-US" w:eastAsia="zh-Hans"/>
        </w:rPr>
        <w:t>.</w:t>
      </w:r>
      <w:r>
        <w:rPr>
          <w:rFonts w:hint="eastAsia"/>
          <w:b/>
          <w:bCs/>
        </w:rPr>
        <w:t>药师签名：</w:t>
      </w:r>
    </w:p>
    <w:p>
      <w:pPr>
        <w:numPr>
          <w:ilvl w:val="0"/>
          <w:numId w:val="0"/>
        </w:numPr>
        <w:bidi w:val="0"/>
        <w:ind w:left="0" w:leftChars="0" w:firstLine="640" w:firstLineChars="200"/>
      </w:pPr>
      <w:r>
        <w:rPr>
          <w:rFonts w:hint="eastAsia"/>
        </w:rPr>
        <w:t>审核通过的电子处方，附加审方药师的药师签名；</w:t>
      </w:r>
    </w:p>
    <w:p>
      <w:pPr>
        <w:numPr>
          <w:ilvl w:val="0"/>
          <w:numId w:val="0"/>
        </w:numPr>
        <w:bidi w:val="0"/>
        <w:ind w:left="0" w:leftChars="0" w:firstLine="643" w:firstLineChars="200"/>
        <w:rPr>
          <w:b/>
          <w:bCs/>
        </w:rPr>
      </w:pPr>
      <w:r>
        <w:rPr>
          <w:rFonts w:hint="default"/>
          <w:b/>
          <w:bCs/>
        </w:rPr>
        <w:t>9</w:t>
      </w:r>
      <w:r>
        <w:rPr>
          <w:rFonts w:hint="eastAsia"/>
          <w:b/>
          <w:bCs/>
          <w:lang w:val="en-US" w:eastAsia="zh-Hans"/>
        </w:rPr>
        <w:t>.</w:t>
      </w:r>
      <w:r>
        <w:rPr>
          <w:rFonts w:hint="eastAsia"/>
          <w:b/>
          <w:bCs/>
        </w:rPr>
        <w:t>电子处方医保电子签名：</w:t>
      </w:r>
    </w:p>
    <w:p>
      <w:pPr>
        <w:numPr>
          <w:ilvl w:val="0"/>
          <w:numId w:val="0"/>
        </w:numPr>
        <w:bidi w:val="0"/>
        <w:ind w:left="0" w:leftChars="0" w:firstLine="640" w:firstLineChars="200"/>
      </w:pPr>
      <w:r>
        <w:rPr>
          <w:rFonts w:hint="eastAsia"/>
        </w:rPr>
        <w:t>调用医保电子处方中心提供的“电子处方医保电子签名”服务，对审方通过后的处方，使用定点医疗机构自身的医保数字证书进行医保电子签名；</w:t>
      </w:r>
    </w:p>
    <w:p>
      <w:pPr>
        <w:numPr>
          <w:ilvl w:val="0"/>
          <w:numId w:val="0"/>
        </w:numPr>
        <w:bidi w:val="0"/>
        <w:ind w:left="0" w:leftChars="0" w:firstLine="643" w:firstLineChars="200"/>
        <w:rPr>
          <w:b/>
          <w:bCs/>
        </w:rPr>
      </w:pPr>
      <w:r>
        <w:rPr>
          <w:rFonts w:hint="default"/>
          <w:b/>
          <w:bCs/>
        </w:rPr>
        <w:t>10</w:t>
      </w:r>
      <w:r>
        <w:rPr>
          <w:rFonts w:hint="eastAsia"/>
          <w:b/>
          <w:bCs/>
          <w:lang w:val="en-US" w:eastAsia="zh-Hans"/>
        </w:rPr>
        <w:t>.</w:t>
      </w:r>
      <w:r>
        <w:rPr>
          <w:rFonts w:hint="eastAsia"/>
          <w:b/>
          <w:bCs/>
        </w:rPr>
        <w:t>电子处方上传：</w:t>
      </w:r>
    </w:p>
    <w:p>
      <w:pPr>
        <w:numPr>
          <w:ilvl w:val="0"/>
          <w:numId w:val="0"/>
        </w:numPr>
        <w:bidi w:val="0"/>
        <w:ind w:left="0" w:leftChars="0" w:firstLine="640" w:firstLineChars="200"/>
      </w:pPr>
      <w:r>
        <w:rPr>
          <w:rFonts w:hint="eastAsia"/>
        </w:rPr>
        <w:t>调用医保电子处方中心提供的“电子处方上传”服务，对医保电子签名后返回的电子处方信息及文件进行上传；</w:t>
      </w:r>
    </w:p>
    <w:p>
      <w:pPr>
        <w:numPr>
          <w:ilvl w:val="0"/>
          <w:numId w:val="0"/>
        </w:numPr>
        <w:bidi w:val="0"/>
        <w:ind w:left="0" w:leftChars="0" w:firstLine="643" w:firstLineChars="200"/>
        <w:rPr>
          <w:b/>
          <w:bCs/>
        </w:rPr>
      </w:pPr>
      <w:r>
        <w:rPr>
          <w:rFonts w:hint="default"/>
          <w:b/>
          <w:bCs/>
        </w:rPr>
        <w:t>11</w:t>
      </w:r>
      <w:r>
        <w:rPr>
          <w:rFonts w:hint="eastAsia"/>
          <w:b/>
          <w:bCs/>
          <w:lang w:val="en-US" w:eastAsia="zh-Hans"/>
        </w:rPr>
        <w:t>.</w:t>
      </w:r>
      <w:r>
        <w:rPr>
          <w:rFonts w:hint="eastAsia"/>
          <w:b/>
          <w:bCs/>
        </w:rPr>
        <w:t>电子处方撤销：</w:t>
      </w:r>
    </w:p>
    <w:p>
      <w:pPr>
        <w:numPr>
          <w:ilvl w:val="0"/>
          <w:numId w:val="0"/>
        </w:numPr>
        <w:bidi w:val="0"/>
        <w:ind w:left="0" w:leftChars="0" w:firstLine="640" w:firstLineChars="200"/>
      </w:pPr>
      <w:r>
        <w:rPr>
          <w:rFonts w:hint="eastAsia"/>
        </w:rPr>
        <w:t>患者取消处方外购或医师主动撤回等情景时，调用医保电子处方中心提供的“电子处方撤销”服务，对上传完成但未取药的电子处方进行撤销；</w:t>
      </w:r>
    </w:p>
    <w:p>
      <w:pPr>
        <w:numPr>
          <w:ilvl w:val="0"/>
          <w:numId w:val="0"/>
        </w:numPr>
        <w:bidi w:val="0"/>
        <w:ind w:left="0" w:leftChars="0" w:firstLine="643" w:firstLineChars="200"/>
        <w:rPr>
          <w:b/>
          <w:bCs/>
        </w:rPr>
      </w:pPr>
      <w:r>
        <w:rPr>
          <w:rFonts w:hint="default"/>
          <w:b/>
          <w:bCs/>
        </w:rPr>
        <w:t>12</w:t>
      </w:r>
      <w:r>
        <w:rPr>
          <w:rFonts w:hint="eastAsia"/>
          <w:b/>
          <w:bCs/>
          <w:lang w:val="en-US" w:eastAsia="zh-Hans"/>
        </w:rPr>
        <w:t>.</w:t>
      </w:r>
      <w:r>
        <w:rPr>
          <w:rFonts w:hint="eastAsia"/>
          <w:b/>
          <w:bCs/>
        </w:rPr>
        <w:t>电子处方信息及状态查询：</w:t>
      </w:r>
    </w:p>
    <w:p>
      <w:pPr>
        <w:numPr>
          <w:ilvl w:val="0"/>
          <w:numId w:val="0"/>
        </w:numPr>
        <w:bidi w:val="0"/>
        <w:ind w:left="0" w:leftChars="0" w:firstLine="640" w:firstLineChars="200"/>
      </w:pPr>
      <w:r>
        <w:rPr>
          <w:rFonts w:hint="eastAsia"/>
        </w:rPr>
        <w:t>调用医保电子处方中心提供的“电子处方信息查询”服务，医师或院内系统可查询为患者开具的历史处方信息及状态；</w:t>
      </w:r>
    </w:p>
    <w:p>
      <w:pPr>
        <w:numPr>
          <w:ilvl w:val="0"/>
          <w:numId w:val="0"/>
        </w:numPr>
        <w:bidi w:val="0"/>
        <w:ind w:left="0" w:leftChars="0" w:firstLine="643" w:firstLineChars="200"/>
        <w:rPr>
          <w:b/>
          <w:bCs/>
        </w:rPr>
      </w:pPr>
      <w:r>
        <w:rPr>
          <w:rFonts w:hint="default"/>
          <w:b/>
          <w:bCs/>
        </w:rPr>
        <w:t>13</w:t>
      </w:r>
      <w:r>
        <w:rPr>
          <w:rFonts w:hint="eastAsia"/>
          <w:b/>
          <w:bCs/>
        </w:rPr>
        <w:t>患者引导：</w:t>
      </w:r>
    </w:p>
    <w:p>
      <w:pPr>
        <w:numPr>
          <w:ilvl w:val="0"/>
          <w:numId w:val="0"/>
        </w:numPr>
        <w:bidi w:val="0"/>
        <w:ind w:left="0" w:leftChars="0" w:firstLine="640" w:firstLineChars="200"/>
      </w:pPr>
      <w:r>
        <w:rPr>
          <w:rFonts w:hint="eastAsia"/>
        </w:rPr>
        <w:t>处方开具及上传完成后，院内通过线下患者引导、公众号或小程序消息、短信等方式引导和告知患者知情权，可通过省医保小程序、公众号等医保官方渠道查询个人电子处方及处方药品的在售药店等信息，自主选择院外药店线下前往取药购药。</w:t>
      </w:r>
    </w:p>
    <w:p>
      <w:pPr>
        <w:pStyle w:val="4"/>
        <w:numPr>
          <w:ilvl w:val="0"/>
          <w:numId w:val="0"/>
        </w:numPr>
        <w:snapToGrid w:val="0"/>
        <w:spacing w:line="440" w:lineRule="exact"/>
        <w:ind w:left="0" w:leftChars="0" w:firstLine="643" w:firstLineChars="200"/>
        <w:rPr>
          <w:rFonts w:ascii="黑体" w:hAnsi="黑体"/>
        </w:rPr>
      </w:pPr>
      <w:r>
        <w:rPr>
          <w:rFonts w:hint="eastAsia" w:ascii="黑体" w:hAnsi="黑体"/>
          <w:lang w:val="en-US" w:eastAsia="zh-Hans"/>
        </w:rPr>
        <w:t>二</w:t>
      </w:r>
      <w:r>
        <w:rPr>
          <w:rFonts w:hint="default" w:ascii="黑体" w:hAnsi="黑体"/>
          <w:lang w:eastAsia="zh-Hans"/>
        </w:rPr>
        <w:t>、</w:t>
      </w:r>
      <w:r>
        <w:rPr>
          <w:rFonts w:hint="eastAsia" w:ascii="黑体" w:hAnsi="黑体"/>
        </w:rPr>
        <w:t>定点</w:t>
      </w:r>
      <w:r>
        <w:rPr>
          <w:rFonts w:hint="eastAsia" w:ascii="黑体" w:hAnsi="黑体"/>
          <w:lang w:val="en-US" w:eastAsia="zh-Hans"/>
        </w:rPr>
        <w:t>零售药店</w:t>
      </w:r>
      <w:r>
        <w:rPr>
          <w:rFonts w:hint="eastAsia" w:ascii="黑体" w:hAnsi="黑体"/>
        </w:rPr>
        <w:t>业务流程</w:t>
      </w:r>
    </w:p>
    <w:p>
      <w:pPr>
        <w:pStyle w:val="5"/>
        <w:numPr>
          <w:ilvl w:val="0"/>
          <w:numId w:val="0"/>
        </w:numPr>
        <w:tabs>
          <w:tab w:val="left" w:pos="1080"/>
        </w:tabs>
        <w:ind w:left="0" w:leftChars="0" w:firstLine="562" w:firstLineChars="200"/>
        <w:rPr>
          <w:rFonts w:hAnsi="黑体"/>
          <w:sz w:val="28"/>
          <w:szCs w:val="28"/>
        </w:rPr>
      </w:pPr>
      <w:r>
        <w:rPr>
          <w:rFonts w:hint="default" w:hAnsi="黑体"/>
          <w:sz w:val="28"/>
          <w:szCs w:val="28"/>
        </w:rPr>
        <w:t>（</w:t>
      </w:r>
      <w:r>
        <w:rPr>
          <w:rFonts w:hint="eastAsia" w:hAnsi="黑体"/>
          <w:sz w:val="28"/>
          <w:szCs w:val="28"/>
          <w:lang w:val="en-US" w:eastAsia="zh-Hans"/>
        </w:rPr>
        <w:t>一</w:t>
      </w:r>
      <w:r>
        <w:rPr>
          <w:rFonts w:hint="default" w:hAnsi="黑体"/>
          <w:sz w:val="28"/>
          <w:szCs w:val="28"/>
        </w:rPr>
        <w:t>）</w:t>
      </w:r>
      <w:r>
        <w:rPr>
          <w:rFonts w:hint="eastAsia" w:hAnsi="黑体"/>
          <w:sz w:val="28"/>
          <w:szCs w:val="28"/>
        </w:rPr>
        <w:t>业务流程图</w:t>
      </w:r>
    </w:p>
    <w:p>
      <w:pPr>
        <w:pStyle w:val="10"/>
        <w:bidi w:val="0"/>
        <w:jc w:val="center"/>
      </w:pPr>
      <w:r>
        <w:object>
          <v:shape id="_x0000_i1026" o:spt="75" type="#_x0000_t75" style="height:495.4pt;width:391.85pt;" o:ole="t" filled="f" o:preferrelative="t" stroked="f" coordsize="21600,21600">
            <v:path/>
            <v:fill on="f" focussize="0,0"/>
            <v:stroke on="f"/>
            <v:imagedata r:id="rId9" o:title=""/>
            <o:lock v:ext="edit" aspectratio="t"/>
            <w10:wrap type="none"/>
            <w10:anchorlock/>
          </v:shape>
          <o:OLEObject Type="Embed" ProgID="Visio.Drawing.15" ShapeID="_x0000_i1026" DrawAspect="Content" ObjectID="_1468075726" r:id="rId8">
            <o:LockedField>false</o:LockedField>
          </o:OLEObject>
        </w:object>
      </w:r>
    </w:p>
    <w:p>
      <w:pPr>
        <w:pStyle w:val="5"/>
        <w:bidi w:val="0"/>
      </w:pPr>
      <w:r>
        <w:rPr>
          <w:rFonts w:hint="default"/>
          <w:lang w:eastAsia="zh-Hans"/>
        </w:rPr>
        <w:t>（</w:t>
      </w:r>
      <w:r>
        <w:rPr>
          <w:rFonts w:hint="eastAsia"/>
          <w:lang w:val="en-US" w:eastAsia="zh-Hans"/>
        </w:rPr>
        <w:t>二</w:t>
      </w:r>
      <w:r>
        <w:rPr>
          <w:rFonts w:hint="default"/>
          <w:lang w:eastAsia="zh-Hans"/>
        </w:rPr>
        <w:t>）</w:t>
      </w:r>
      <w:r>
        <w:rPr>
          <w:rFonts w:hint="eastAsia"/>
        </w:rPr>
        <w:t>流程说明</w:t>
      </w:r>
    </w:p>
    <w:p>
      <w:pPr>
        <w:pStyle w:val="7"/>
        <w:keepNext w:val="0"/>
        <w:keepLines w:val="0"/>
        <w:pageBreakBefore w:val="0"/>
        <w:widowControl w:val="0"/>
        <w:kinsoku/>
        <w:wordWrap/>
        <w:overflowPunct/>
        <w:topLinePunct w:val="0"/>
        <w:autoSpaceDE/>
        <w:autoSpaceDN/>
        <w:bidi w:val="0"/>
        <w:adjustRightInd/>
        <w:snapToGrid/>
        <w:spacing w:line="520" w:lineRule="exact"/>
        <w:textAlignment w:val="auto"/>
        <w:rPr>
          <w:rFonts w:hint="default"/>
          <w:lang w:val="en-US" w:eastAsia="zh-Hans"/>
        </w:rPr>
      </w:pPr>
      <w:r>
        <w:rPr>
          <w:rFonts w:hint="default"/>
          <w:b/>
          <w:bCs/>
          <w:lang w:eastAsia="zh-Hans"/>
        </w:rPr>
        <w:t>1</w:t>
      </w:r>
      <w:r>
        <w:rPr>
          <w:rFonts w:hint="eastAsia"/>
          <w:b/>
          <w:bCs/>
          <w:lang w:val="en-US" w:eastAsia="zh-Hans"/>
        </w:rPr>
        <w:t>.</w:t>
      </w:r>
      <w:r>
        <w:rPr>
          <w:rFonts w:hint="default"/>
          <w:b/>
          <w:bCs/>
          <w:lang w:val="en-US" w:eastAsia="zh-Hans"/>
        </w:rPr>
        <w:t>出示取药凭证：</w:t>
      </w:r>
      <w:r>
        <w:rPr>
          <w:rFonts w:hint="default"/>
          <w:lang w:val="en-US" w:eastAsia="zh-Hans"/>
        </w:rPr>
        <w:t>患者线下就诊时出示个人医保电子凭证二维码、身份证或社保卡；</w:t>
      </w:r>
    </w:p>
    <w:p>
      <w:pPr>
        <w:pStyle w:val="7"/>
        <w:keepNext w:val="0"/>
        <w:keepLines w:val="0"/>
        <w:pageBreakBefore w:val="0"/>
        <w:widowControl w:val="0"/>
        <w:kinsoku/>
        <w:wordWrap/>
        <w:overflowPunct/>
        <w:topLinePunct w:val="0"/>
        <w:autoSpaceDE/>
        <w:autoSpaceDN/>
        <w:bidi w:val="0"/>
        <w:adjustRightInd/>
        <w:snapToGrid/>
        <w:spacing w:line="520" w:lineRule="exact"/>
        <w:textAlignment w:val="auto"/>
        <w:rPr>
          <w:rFonts w:hint="default"/>
          <w:b/>
          <w:bCs/>
          <w:lang w:val="en-US" w:eastAsia="zh-Hans"/>
        </w:rPr>
      </w:pPr>
      <w:r>
        <w:rPr>
          <w:rFonts w:hint="default"/>
          <w:b/>
          <w:bCs/>
          <w:lang w:eastAsia="zh-Hans"/>
        </w:rPr>
        <w:t>2</w:t>
      </w:r>
      <w:r>
        <w:rPr>
          <w:rFonts w:hint="eastAsia"/>
          <w:b/>
          <w:bCs/>
          <w:lang w:val="en-US" w:eastAsia="zh-Hans"/>
        </w:rPr>
        <w:t>.</w:t>
      </w:r>
      <w:r>
        <w:rPr>
          <w:rFonts w:hint="default"/>
          <w:b/>
          <w:bCs/>
          <w:lang w:val="en-US" w:eastAsia="zh-Hans"/>
        </w:rPr>
        <w:t>身份验证：</w:t>
      </w:r>
    </w:p>
    <w:p>
      <w:pPr>
        <w:pStyle w:val="7"/>
        <w:keepNext w:val="0"/>
        <w:keepLines w:val="0"/>
        <w:pageBreakBefore w:val="0"/>
        <w:widowControl w:val="0"/>
        <w:kinsoku/>
        <w:wordWrap/>
        <w:overflowPunct/>
        <w:topLinePunct w:val="0"/>
        <w:autoSpaceDE/>
        <w:autoSpaceDN/>
        <w:bidi w:val="0"/>
        <w:adjustRightInd/>
        <w:snapToGrid/>
        <w:spacing w:line="520" w:lineRule="exact"/>
        <w:textAlignment w:val="auto"/>
        <w:rPr>
          <w:rFonts w:hint="default"/>
          <w:lang w:val="en-US" w:eastAsia="zh-Hans"/>
        </w:rPr>
      </w:pPr>
      <w:r>
        <w:rPr>
          <w:rFonts w:hint="default"/>
          <w:lang w:eastAsia="zh-Hans"/>
        </w:rPr>
        <w:t>（1）</w:t>
      </w:r>
      <w:r>
        <w:rPr>
          <w:rFonts w:hint="default"/>
          <w:lang w:val="en-US" w:eastAsia="zh-Hans"/>
        </w:rPr>
        <w:t>医保电子凭证取药：调用医保电子凭证解码接口，获取人员身份信息；</w:t>
      </w:r>
    </w:p>
    <w:p>
      <w:pPr>
        <w:pStyle w:val="7"/>
        <w:keepNext w:val="0"/>
        <w:keepLines w:val="0"/>
        <w:pageBreakBefore w:val="0"/>
        <w:widowControl w:val="0"/>
        <w:kinsoku/>
        <w:wordWrap/>
        <w:overflowPunct/>
        <w:topLinePunct w:val="0"/>
        <w:autoSpaceDE/>
        <w:autoSpaceDN/>
        <w:bidi w:val="0"/>
        <w:adjustRightInd/>
        <w:snapToGrid/>
        <w:spacing w:line="520" w:lineRule="exact"/>
        <w:textAlignment w:val="auto"/>
        <w:rPr>
          <w:rFonts w:hint="default"/>
          <w:lang w:val="en-US" w:eastAsia="zh-Hans"/>
        </w:rPr>
      </w:pPr>
      <w:r>
        <w:rPr>
          <w:rFonts w:hint="default"/>
          <w:lang w:eastAsia="zh-Hans"/>
        </w:rPr>
        <w:t>（2）</w:t>
      </w:r>
      <w:r>
        <w:rPr>
          <w:rFonts w:hint="default"/>
          <w:lang w:val="en-US" w:eastAsia="zh-Hans"/>
        </w:rPr>
        <w:t>社保卡、身份证取药：社保卡、身份证读卡，获取人员身份信息，并须验证</w:t>
      </w:r>
      <w:r>
        <w:rPr>
          <w:rFonts w:hint="default"/>
          <w:b/>
          <w:bCs/>
          <w:lang w:val="en-US" w:eastAsia="zh-Hans"/>
        </w:rPr>
        <w:t>医保电子凭证密码，确认身份；</w:t>
      </w:r>
    </w:p>
    <w:p>
      <w:pPr>
        <w:pStyle w:val="7"/>
        <w:keepNext w:val="0"/>
        <w:keepLines w:val="0"/>
        <w:pageBreakBefore w:val="0"/>
        <w:widowControl w:val="0"/>
        <w:kinsoku/>
        <w:wordWrap/>
        <w:overflowPunct/>
        <w:topLinePunct w:val="0"/>
        <w:autoSpaceDE/>
        <w:autoSpaceDN/>
        <w:bidi w:val="0"/>
        <w:adjustRightInd/>
        <w:snapToGrid/>
        <w:spacing w:line="520" w:lineRule="exact"/>
        <w:textAlignment w:val="auto"/>
        <w:rPr>
          <w:rFonts w:hint="default"/>
          <w:lang w:val="en-US" w:eastAsia="zh-Hans"/>
        </w:rPr>
      </w:pPr>
      <w:r>
        <w:rPr>
          <w:rFonts w:hint="default"/>
          <w:b/>
          <w:bCs/>
          <w:lang w:val="en-US" w:eastAsia="zh-Hans"/>
        </w:rPr>
        <w:t>电子处方线下授权：</w:t>
      </w:r>
      <w:r>
        <w:rPr>
          <w:rFonts w:hint="default"/>
          <w:lang w:val="en-US" w:eastAsia="zh-Hans"/>
        </w:rPr>
        <w:t>定点药店通过患者身份信息查询待取药的电子处方，处方中心生成授权后的电子处方令牌；</w:t>
      </w:r>
    </w:p>
    <w:p>
      <w:pPr>
        <w:pStyle w:val="7"/>
        <w:keepNext w:val="0"/>
        <w:keepLines w:val="0"/>
        <w:pageBreakBefore w:val="0"/>
        <w:widowControl w:val="0"/>
        <w:kinsoku/>
        <w:wordWrap/>
        <w:overflowPunct/>
        <w:topLinePunct w:val="0"/>
        <w:autoSpaceDE/>
        <w:autoSpaceDN/>
        <w:bidi w:val="0"/>
        <w:adjustRightInd/>
        <w:snapToGrid/>
        <w:spacing w:line="520" w:lineRule="exact"/>
        <w:textAlignment w:val="auto"/>
        <w:rPr>
          <w:rFonts w:hint="default"/>
          <w:lang w:val="en-US" w:eastAsia="zh-Hans"/>
        </w:rPr>
      </w:pPr>
      <w:r>
        <w:rPr>
          <w:rFonts w:hint="default"/>
          <w:b/>
          <w:bCs/>
          <w:lang w:val="en-US" w:eastAsia="zh-Hans"/>
        </w:rPr>
        <w:t>选择处方：</w:t>
      </w:r>
      <w:r>
        <w:rPr>
          <w:rFonts w:hint="default"/>
          <w:lang w:val="en-US" w:eastAsia="zh-Hans"/>
        </w:rPr>
        <w:t>定点零售药店经与患者沟通确认后选择处方，进行下载；</w:t>
      </w:r>
    </w:p>
    <w:p>
      <w:pPr>
        <w:pStyle w:val="7"/>
        <w:keepNext w:val="0"/>
        <w:keepLines w:val="0"/>
        <w:pageBreakBefore w:val="0"/>
        <w:widowControl w:val="0"/>
        <w:kinsoku/>
        <w:wordWrap/>
        <w:overflowPunct/>
        <w:topLinePunct w:val="0"/>
        <w:autoSpaceDE/>
        <w:autoSpaceDN/>
        <w:bidi w:val="0"/>
        <w:adjustRightInd/>
        <w:snapToGrid/>
        <w:spacing w:line="520" w:lineRule="exact"/>
        <w:textAlignment w:val="auto"/>
        <w:rPr>
          <w:rFonts w:hint="default"/>
          <w:lang w:val="en-US" w:eastAsia="zh-Hans"/>
        </w:rPr>
      </w:pPr>
      <w:r>
        <w:rPr>
          <w:rFonts w:hint="default"/>
          <w:b/>
          <w:bCs/>
          <w:lang w:val="en-US" w:eastAsia="zh-Hans"/>
        </w:rPr>
        <w:t>审阅处方及信息：</w:t>
      </w:r>
      <w:r>
        <w:rPr>
          <w:rFonts w:hint="default"/>
          <w:lang w:val="en-US" w:eastAsia="zh-Hans"/>
        </w:rPr>
        <w:t>定点零售药店系统展示预览的处方及信息，药师进行审阅；</w:t>
      </w:r>
    </w:p>
    <w:p>
      <w:pPr>
        <w:pStyle w:val="7"/>
        <w:keepNext w:val="0"/>
        <w:keepLines w:val="0"/>
        <w:pageBreakBefore w:val="0"/>
        <w:widowControl w:val="0"/>
        <w:kinsoku/>
        <w:wordWrap/>
        <w:overflowPunct/>
        <w:topLinePunct w:val="0"/>
        <w:autoSpaceDE/>
        <w:autoSpaceDN/>
        <w:bidi w:val="0"/>
        <w:adjustRightInd/>
        <w:snapToGrid/>
        <w:spacing w:line="520" w:lineRule="exact"/>
        <w:textAlignment w:val="auto"/>
        <w:rPr>
          <w:rFonts w:hint="default"/>
          <w:lang w:val="en-US" w:eastAsia="zh-Hans"/>
        </w:rPr>
      </w:pPr>
      <w:r>
        <w:rPr>
          <w:rFonts w:hint="default"/>
          <w:b/>
          <w:bCs/>
          <w:lang w:val="en-US" w:eastAsia="zh-Hans"/>
        </w:rPr>
        <w:t>电子处方信息核验：</w:t>
      </w:r>
      <w:r>
        <w:rPr>
          <w:rFonts w:hint="default"/>
          <w:lang w:val="en-US" w:eastAsia="zh-Hans"/>
        </w:rPr>
        <w:t>定点零售药店调用医保电子处方中心进行电子处方信息核验，对电子处方进行验真；</w:t>
      </w:r>
    </w:p>
    <w:p>
      <w:pPr>
        <w:pStyle w:val="7"/>
        <w:keepNext w:val="0"/>
        <w:keepLines w:val="0"/>
        <w:pageBreakBefore w:val="0"/>
        <w:widowControl w:val="0"/>
        <w:kinsoku/>
        <w:wordWrap/>
        <w:overflowPunct/>
        <w:topLinePunct w:val="0"/>
        <w:autoSpaceDE/>
        <w:autoSpaceDN/>
        <w:bidi w:val="0"/>
        <w:adjustRightInd/>
        <w:snapToGrid/>
        <w:spacing w:line="520" w:lineRule="exact"/>
        <w:textAlignment w:val="auto"/>
        <w:rPr>
          <w:rFonts w:hint="default"/>
          <w:lang w:val="en-US" w:eastAsia="zh-Hans"/>
        </w:rPr>
      </w:pPr>
      <w:r>
        <w:rPr>
          <w:rFonts w:hint="default"/>
          <w:b/>
          <w:bCs/>
          <w:lang w:val="en-US" w:eastAsia="zh-Hans"/>
        </w:rPr>
        <w:t>药店药师审方：</w:t>
      </w:r>
      <w:r>
        <w:rPr>
          <w:rFonts w:hint="default"/>
          <w:lang w:val="en-US" w:eastAsia="zh-Hans"/>
        </w:rPr>
        <w:t>定点零售药店药师审核电子处方，填写审核结果及审核意见，并上传至医保电子处方中心；</w:t>
      </w:r>
    </w:p>
    <w:p>
      <w:pPr>
        <w:pStyle w:val="7"/>
        <w:keepNext w:val="0"/>
        <w:keepLines w:val="0"/>
        <w:pageBreakBefore w:val="0"/>
        <w:widowControl w:val="0"/>
        <w:kinsoku/>
        <w:wordWrap/>
        <w:overflowPunct/>
        <w:topLinePunct w:val="0"/>
        <w:autoSpaceDE/>
        <w:autoSpaceDN/>
        <w:bidi w:val="0"/>
        <w:adjustRightInd/>
        <w:snapToGrid/>
        <w:spacing w:line="520" w:lineRule="exact"/>
        <w:textAlignment w:val="auto"/>
        <w:rPr>
          <w:rFonts w:hint="default"/>
          <w:lang w:val="en-US" w:eastAsia="zh-Hans"/>
        </w:rPr>
      </w:pPr>
      <w:r>
        <w:rPr>
          <w:rFonts w:hint="default"/>
          <w:b/>
          <w:bCs/>
          <w:lang w:val="en-US" w:eastAsia="zh-Hans"/>
        </w:rPr>
        <w:t>药品销售出库：</w:t>
      </w:r>
      <w:r>
        <w:rPr>
          <w:rFonts w:hint="default"/>
          <w:lang w:val="en-US" w:eastAsia="zh-Hans"/>
        </w:rPr>
        <w:t>定点零售药店进行处方药品调配复核，录入药品销售出库明细信息，并上传至医保电子处方中心；</w:t>
      </w:r>
    </w:p>
    <w:p>
      <w:pPr>
        <w:pStyle w:val="7"/>
        <w:keepNext w:val="0"/>
        <w:keepLines w:val="0"/>
        <w:pageBreakBefore w:val="0"/>
        <w:widowControl w:val="0"/>
        <w:kinsoku/>
        <w:wordWrap/>
        <w:overflowPunct/>
        <w:topLinePunct w:val="0"/>
        <w:autoSpaceDE/>
        <w:autoSpaceDN/>
        <w:bidi w:val="0"/>
        <w:adjustRightInd/>
        <w:snapToGrid/>
        <w:spacing w:line="520" w:lineRule="exact"/>
        <w:textAlignment w:val="auto"/>
        <w:rPr>
          <w:rFonts w:hint="default"/>
          <w:lang w:val="en-US" w:eastAsia="zh-Hans"/>
        </w:rPr>
      </w:pPr>
      <w:r>
        <w:rPr>
          <w:rFonts w:hint="default"/>
          <w:b/>
          <w:bCs/>
          <w:lang w:val="en-US" w:eastAsia="zh-Hans"/>
        </w:rPr>
        <w:t>药品医保结算：</w:t>
      </w:r>
      <w:r>
        <w:rPr>
          <w:rFonts w:hint="default"/>
          <w:lang w:val="en-US" w:eastAsia="zh-Hans"/>
        </w:rPr>
        <w:t>定点零售药店根据药品明细，调用原结算接口（新增医保电子处方编号、处方标志入参）提交至医保核心业务系统发起处方结算；</w:t>
      </w:r>
    </w:p>
    <w:p>
      <w:pPr>
        <w:pStyle w:val="7"/>
        <w:keepNext w:val="0"/>
        <w:keepLines w:val="0"/>
        <w:pageBreakBefore w:val="0"/>
        <w:widowControl w:val="0"/>
        <w:kinsoku/>
        <w:wordWrap/>
        <w:overflowPunct/>
        <w:topLinePunct w:val="0"/>
        <w:autoSpaceDE/>
        <w:autoSpaceDN/>
        <w:bidi w:val="0"/>
        <w:adjustRightInd/>
        <w:snapToGrid/>
        <w:spacing w:line="520" w:lineRule="exact"/>
        <w:textAlignment w:val="auto"/>
        <w:rPr>
          <w:rFonts w:hint="default"/>
          <w:lang w:val="en-US" w:eastAsia="zh-Hans"/>
        </w:rPr>
      </w:pPr>
      <w:r>
        <w:rPr>
          <w:rFonts w:hint="default"/>
          <w:b/>
          <w:bCs/>
          <w:lang w:val="en-US" w:eastAsia="zh-Hans"/>
        </w:rPr>
        <w:t>结算结果查询：</w:t>
      </w:r>
      <w:r>
        <w:rPr>
          <w:rFonts w:hint="default"/>
          <w:lang w:val="en-US" w:eastAsia="zh-Hans"/>
        </w:rPr>
        <w:t>患者可通过医保官方小程序或公众号查询处方结算结果及状态。</w:t>
      </w:r>
    </w:p>
    <w:p>
      <w:pPr>
        <w:ind w:left="0" w:leftChars="0" w:firstLine="0" w:firstLineChars="0"/>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modern"/>
    <w:pitch w:val="default"/>
    <w:sig w:usb0="00000000" w:usb1="00000000" w:usb2="00000000" w:usb3="00000000" w:csb0="00000000" w:csb1="00000000"/>
  </w:font>
  <w:font w:name="宋体">
    <w:panose1 w:val="02010600030101010101"/>
    <w:charset w:val="88"/>
    <w:family w:val="auto"/>
    <w:pitch w:val="default"/>
    <w:sig w:usb0="00000000" w:usb1="00000000" w:usb2="00000000" w:usb3="00000000" w:csb0="00160000" w:csb1="00000000"/>
  </w:font>
  <w:font w:name="Wingdings">
    <w:panose1 w:val="05000000000000000000"/>
    <w:charset w:val="02"/>
    <w:family w:val="auto"/>
    <w:pitch w:val="default"/>
    <w:sig w:usb0="00000000" w:usb1="00000000" w:usb2="00000000" w:usb3="00000000" w:csb0="00000000" w:csb1="00000000"/>
  </w:font>
  <w:font w:name="Arial">
    <w:panose1 w:val="020B0604020202020204"/>
    <w:charset w:val="01"/>
    <w:family w:val="swiss"/>
    <w:pitch w:val="default"/>
    <w:sig w:usb0="00000000" w:usb1="00000000" w:usb2="00000000" w:usb3="00000000" w:csb0="00000000" w:csb1="00000000"/>
  </w:font>
  <w:font w:name="黑体">
    <w:panose1 w:val="02010609060101010101"/>
    <w:charset w:val="86"/>
    <w:family w:val="auto"/>
    <w:pitch w:val="default"/>
    <w:sig w:usb0="00000000" w:usb1="00000000" w:usb2="00000000" w:usb3="00000000" w:csb0="00160000" w:csb1="00000000"/>
  </w:font>
  <w:font w:name="Courier New">
    <w:panose1 w:val="02070309020205020404"/>
    <w:charset w:val="01"/>
    <w:family w:val="modern"/>
    <w:pitch w:val="default"/>
    <w:sig w:usb0="00000000" w:usb1="00000000" w:usb2="00000000" w:usb3="00000000" w:csb0="00000000" w:csb1="0000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Helvetica Neue">
    <w:panose1 w:val="02000503000000020004"/>
    <w:charset w:val="00"/>
    <w:family w:val="auto"/>
    <w:pitch w:val="default"/>
    <w:sig w:usb0="00000000" w:usb1="00000000" w:usb2="00000000" w:usb3="00000000" w:csb0="00000000" w:csb1="00000000"/>
  </w:font>
  <w:font w:name="FangSong_GB2312">
    <w:panose1 w:val="02010609030101010101"/>
    <w:charset w:val="86"/>
    <w:family w:val="auto"/>
    <w:pitch w:val="default"/>
    <w:sig w:usb0="00000000" w:usb1="00000000" w:usb2="00000000" w:usb3="00000000" w:csb0="00060000" w:csb1="00000000"/>
  </w:font>
  <w:font w:name="SimSun">
    <w:panose1 w:val="02010600030101010101"/>
    <w:charset w:val="86"/>
    <w:family w:val="auto"/>
    <w:pitch w:val="default"/>
    <w:sig w:usb0="00000000" w:usb1="00000000" w:usb2="00000000" w:usb3="00000000" w:csb0="00160000" w:csb1="00000000"/>
  </w:font>
  <w:font w:name="SimHei">
    <w:panose1 w:val="02010609060101010101"/>
    <w:charset w:val="86"/>
    <w:family w:val="auto"/>
    <w:pitch w:val="default"/>
    <w:sig w:usb0="00000000" w:usb1="00000000" w:usb2="00000000" w:usb3="00000000" w:csb0="00160000" w:csb1="00000000"/>
  </w:font>
  <w:font w:name="KaiTi_GB2312">
    <w:panose1 w:val="02010609030101010101"/>
    <w:charset w:val="86"/>
    <w:family w:val="auto"/>
    <w:pitch w:val="default"/>
    <w:sig w:usb0="00000000" w:usb1="00000000" w:usb2="00000000" w:usb3="00000000" w:csb0="00060000" w:csb1="00000000"/>
  </w:font>
  <w:font w:name="PingFang SC">
    <w:panose1 w:val="020B0400000000000000"/>
    <w:charset w:val="86"/>
    <w:family w:val="auto"/>
    <w:pitch w:val="default"/>
    <w:sig w:usb0="00000000" w:usb1="00000000" w:usb2="00000000" w:usb3="00000000" w:csb0="00160000" w:csb1="00000000"/>
  </w:font>
  <w:font w:name="Tahoma">
    <w:panose1 w:val="020B0604030504040204"/>
    <w:charset w:val="00"/>
    <w:family w:val="auto"/>
    <w:pitch w:val="default"/>
    <w:sig w:usb0="00000000" w:usb1="00000000" w:usb2="00000000" w:usb3="00000000" w:csb0="00000000" w:csb1="00000000"/>
  </w:font>
  <w:font w:name="仿宋_GB2312">
    <w:panose1 w:val="02010609030101010101"/>
    <w:charset w:val="86"/>
    <w:family w:val="modern"/>
    <w:pitch w:val="default"/>
    <w:sig w:usb0="00000000" w:usb1="00000000" w:usb2="00000000" w:usb3="00000000" w:csb0="00060000" w:csb1="00000000"/>
  </w:font>
  <w:font w:name="Kingsoft Sign">
    <w:panose1 w:val="05050102010706020507"/>
    <w:charset w:val="00"/>
    <w:family w:val="auto"/>
    <w:pitch w:val="default"/>
    <w:sig w:usb0="00000000" w:usb1="00000000" w:usb2="00000000" w:usb3="00000000" w:csb0="00000000" w:csb1="00000000"/>
  </w:font>
  <w:font w:name="方正小标宋简体">
    <w:panose1 w:val="03000509000000000000"/>
    <w:charset w:val="86"/>
    <w:family w:val="auto"/>
    <w:pitch w:val="default"/>
    <w:sig w:usb0="00000000" w:usb1="00000000" w:usb2="00000000" w:usb3="00000000" w:csb0="0006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FFE4C3C"/>
    <w:rsid w:val="1F7C2E2B"/>
    <w:rsid w:val="387744F4"/>
    <w:rsid w:val="3BDF3539"/>
    <w:rsid w:val="7EEFDCC1"/>
    <w:rsid w:val="7FEE42D0"/>
    <w:rsid w:val="7FF47E56"/>
    <w:rsid w:val="7FFBBDDA"/>
    <w:rsid w:val="7FFDE810"/>
    <w:rsid w:val="AF6F3C6F"/>
    <w:rsid w:val="C3BE75C8"/>
    <w:rsid w:val="DDEB9961"/>
    <w:rsid w:val="E9E92DB9"/>
    <w:rsid w:val="F1F66F82"/>
    <w:rsid w:val="FACBD48D"/>
    <w:rsid w:val="FB57A4D8"/>
    <w:rsid w:val="FDB9BC66"/>
    <w:rsid w:val="FEAD0228"/>
    <w:rsid w:val="FFFE4C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560" w:lineRule="exact"/>
      <w:jc w:val="both"/>
    </w:pPr>
    <w:rPr>
      <w:rFonts w:eastAsia="FangSong_GB2312" w:asciiTheme="minorAscii" w:hAnsiTheme="minorAscii" w:cstheme="minorBidi"/>
      <w:kern w:val="2"/>
      <w:sz w:val="32"/>
      <w:szCs w:val="22"/>
      <w:lang w:val="en-US" w:eastAsia="zh-CN" w:bidi="ar-SA"/>
    </w:rPr>
  </w:style>
  <w:style w:type="paragraph" w:styleId="3">
    <w:name w:val="heading 1"/>
    <w:basedOn w:val="1"/>
    <w:next w:val="1"/>
    <w:qFormat/>
    <w:uiPriority w:val="0"/>
    <w:pPr>
      <w:spacing w:before="0" w:beforeAutospacing="0" w:after="0" w:afterAutospacing="0" w:line="240" w:lineRule="auto"/>
      <w:jc w:val="left"/>
      <w:outlineLvl w:val="0"/>
    </w:pPr>
    <w:rPr>
      <w:rFonts w:hint="eastAsia" w:ascii="SimSun" w:hAnsi="SimSun" w:eastAsia="SimHei" w:cs="宋体"/>
      <w:b/>
      <w:bCs/>
      <w:kern w:val="44"/>
      <w:szCs w:val="48"/>
      <w:lang w:bidi="ar"/>
    </w:rPr>
  </w:style>
  <w:style w:type="paragraph" w:styleId="4">
    <w:name w:val="heading 2"/>
    <w:basedOn w:val="1"/>
    <w:next w:val="1"/>
    <w:semiHidden/>
    <w:unhideWhenUsed/>
    <w:qFormat/>
    <w:uiPriority w:val="0"/>
    <w:pPr>
      <w:keepNext/>
      <w:keepLines/>
      <w:spacing w:beforeLines="0" w:beforeAutospacing="0" w:afterLines="0" w:afterAutospacing="0" w:line="240" w:lineRule="auto"/>
      <w:outlineLvl w:val="1"/>
    </w:pPr>
    <w:rPr>
      <w:rFonts w:ascii="Arial" w:hAnsi="Arial" w:eastAsia="KaiTi_GB2312"/>
      <w:b/>
    </w:rPr>
  </w:style>
  <w:style w:type="paragraph" w:styleId="5">
    <w:name w:val="heading 3"/>
    <w:basedOn w:val="1"/>
    <w:next w:val="1"/>
    <w:semiHidden/>
    <w:unhideWhenUsed/>
    <w:qFormat/>
    <w:uiPriority w:val="0"/>
    <w:pPr>
      <w:keepNext/>
      <w:keepLines/>
      <w:spacing w:beforeLines="0" w:beforeAutospacing="0" w:afterLines="0" w:afterAutospacing="0" w:line="240" w:lineRule="auto"/>
      <w:outlineLvl w:val="2"/>
    </w:pPr>
    <w:rPr>
      <w:b/>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customStyle="1" w:styleId="2">
    <w:name w:val="文件格式"/>
    <w:basedOn w:val="1"/>
    <w:qFormat/>
    <w:uiPriority w:val="0"/>
    <w:pPr>
      <w:widowControl/>
      <w:spacing w:line="460" w:lineRule="atLeast"/>
      <w:ind w:left="1" w:firstLine="419"/>
      <w:textAlignment w:val="bottom"/>
    </w:pPr>
    <w:rPr>
      <w:rFonts w:eastAsia="仿宋_GB2312"/>
      <w:kern w:val="0"/>
      <w:sz w:val="32"/>
      <w:szCs w:val="32"/>
    </w:rPr>
  </w:style>
  <w:style w:type="paragraph" w:styleId="6">
    <w:name w:val="Body Text"/>
    <w:basedOn w:val="1"/>
    <w:uiPriority w:val="0"/>
    <w:pPr>
      <w:spacing w:after="120" w:afterLines="0" w:afterAutospacing="0"/>
    </w:pPr>
  </w:style>
  <w:style w:type="paragraph" w:styleId="7">
    <w:name w:val="Body Text First Indent"/>
    <w:basedOn w:val="6"/>
    <w:uiPriority w:val="0"/>
    <w:pPr>
      <w:widowControl w:val="0"/>
      <w:spacing w:line="560" w:lineRule="exact"/>
      <w:ind w:left="0" w:firstLine="880" w:firstLineChars="200"/>
      <w:jc w:val="both"/>
    </w:pPr>
    <w:rPr>
      <w:rFonts w:cstheme="minorBidi"/>
      <w:sz w:val="32"/>
      <w:szCs w:val="22"/>
    </w:rPr>
  </w:style>
  <w:style w:type="paragraph" w:customStyle="1" w:styleId="10">
    <w:name w:val="单倍行距"/>
    <w:basedOn w:val="1"/>
    <w:next w:val="1"/>
    <w:qFormat/>
    <w:uiPriority w:val="0"/>
    <w:pPr>
      <w:spacing w:line="240" w:lineRule="auto"/>
      <w:ind w:firstLine="0" w:firstLineChars="0"/>
    </w:pPr>
    <w:rPr>
      <w:rFonts w:ascii="Times New Roman" w:hAnsi="Times New Roman"/>
    </w:rPr>
  </w:style>
</w:style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oleObject" Target="embeddings/oleObject2.bin"/><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Office_5.0.0.7550_F1E327BC-269C-435d-A152-05C5408002CA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2023-04-02T11:48:00Z</dcterms:created>
  <dc:creator>夏敏</dc:creator>
  <cp:lastModifiedBy>夏敏</cp:lastModifiedBy>
  <dcterms:modified xsi:type="dcterms:W3CDTF">2023-04-02T11:48:48Z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2052-5.0.0.7550</vt:lpwstr>
  </property>
  <property fmtid="{D5CDD505-2E9C-101B-9397-08002B2CF9AE}" pid="3" name="ICV">
    <vt:lpwstr>3E5CD89FC95C75A0F1FA28645C26E60E</vt:lpwstr>
  </property>
</Properties>
</file>