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微软雅黑" w:hAnsi="微软雅黑" w:eastAsia="微软雅黑" w:cs="微软雅黑"/>
          <w:b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lang w:val="en-US" w:eastAsia="zh-CN"/>
        </w:rPr>
        <w:t>口服药、静配药预执行时间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口服药预执行时间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口服药预执行时间展示为：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中餐：11：30±1h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晚餐：17：30±1h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睡前：21：00±1h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早餐：07：00±1h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静配药预执行时间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静配药预执行时间展示为：配置时间+2h±1h，例如配置时间为10：00，则静配药预执行时间为12：00±1h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“医嘱执行情况查询”优化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将“执行日期”改为“预执行日期”，“执行时间”改为“预执行时间”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5420" cy="316039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6BEB8A"/>
    <w:multiLevelType w:val="singleLevel"/>
    <w:tmpl w:val="C86BEB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614F2"/>
    <w:rsid w:val="31482A9A"/>
    <w:rsid w:val="352614F2"/>
    <w:rsid w:val="49E53FBE"/>
    <w:rsid w:val="5E0D4D6B"/>
    <w:rsid w:val="6E874F11"/>
    <w:rsid w:val="7167294F"/>
    <w:rsid w:val="799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2021-06-08T02:30:00Z</dcterms:created>
  <dc:creator>沐</dc:creator>
  <cp:lastModifiedBy>沐</cp:lastModifiedBy>
  <dcterms:modified xsi:type="dcterms:W3CDTF">2021-06-08T03:09:05Z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