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CB6067">
      <w:pPr>
        <w:pStyle w:val="3"/>
        <w:spacing w:before="341" w:line="223" w:lineRule="auto"/>
        <w:ind w:left="246"/>
        <w:jc w:val="center"/>
        <w:rPr>
          <w:b/>
          <w:bCs/>
          <w:spacing w:val="5"/>
          <w:sz w:val="43"/>
          <w:szCs w:val="43"/>
        </w:rPr>
      </w:pPr>
      <w:r>
        <w:rPr>
          <w:rFonts w:hint="eastAsia"/>
          <w:b/>
          <w:bCs/>
          <w:spacing w:val="5"/>
          <w:sz w:val="43"/>
          <w:szCs w:val="43"/>
          <w:lang w:val="en-US" w:eastAsia="zh-CN"/>
        </w:rPr>
        <w:t>中医医院异常住院费用病例</w:t>
      </w:r>
      <w:r>
        <w:rPr>
          <w:b/>
          <w:bCs/>
          <w:spacing w:val="5"/>
          <w:sz w:val="43"/>
          <w:szCs w:val="43"/>
        </w:rPr>
        <w:t>核查系统</w:t>
      </w:r>
    </w:p>
    <w:p w14:paraId="6227871E">
      <w:pPr>
        <w:pStyle w:val="3"/>
        <w:spacing w:before="341" w:line="223" w:lineRule="auto"/>
        <w:ind w:left="246"/>
        <w:jc w:val="center"/>
        <w:rPr>
          <w:rFonts w:hint="default" w:eastAsia="宋体"/>
          <w:sz w:val="43"/>
          <w:szCs w:val="43"/>
          <w:lang w:val="en-US" w:eastAsia="zh-CN"/>
        </w:rPr>
      </w:pPr>
      <w:r>
        <w:rPr>
          <w:b/>
          <w:bCs/>
          <w:spacing w:val="5"/>
          <w:sz w:val="43"/>
          <w:szCs w:val="43"/>
        </w:rPr>
        <w:t>操作手册</w:t>
      </w:r>
    </w:p>
    <w:p w14:paraId="248D11BB">
      <w:pPr>
        <w:pStyle w:val="2"/>
        <w:bidi w:val="0"/>
        <w:rPr>
          <w:rFonts w:hint="default"/>
          <w:lang w:val="en-US" w:eastAsia="zh-CN"/>
        </w:rPr>
      </w:pPr>
      <w:r>
        <w:rPr>
          <w:rFonts w:hint="eastAsia"/>
          <w:lang w:val="en-US" w:eastAsia="zh-CN"/>
        </w:rPr>
        <w:t>一、概</w:t>
      </w:r>
      <w:bookmarkStart w:id="0" w:name="_GoBack"/>
      <w:bookmarkEnd w:id="0"/>
      <w:r>
        <w:rPr>
          <w:rFonts w:hint="eastAsia"/>
          <w:lang w:val="en-US" w:eastAsia="zh-CN"/>
        </w:rPr>
        <w:t>述</w:t>
      </w:r>
    </w:p>
    <w:p w14:paraId="4F4FF8C2">
      <w:pPr>
        <w:pStyle w:val="3"/>
        <w:spacing w:before="261" w:line="410" w:lineRule="auto"/>
        <w:ind w:left="48" w:right="97" w:firstLine="561"/>
        <w:jc w:val="both"/>
      </w:pPr>
      <w:r>
        <w:rPr>
          <w:rFonts w:ascii="宋体" w:hAnsi="宋体" w:eastAsia="宋体" w:cs="宋体"/>
        </w:rPr>
        <w:t>根据</w:t>
      </w:r>
      <w:r>
        <w:rPr>
          <w:rFonts w:hint="eastAsia" w:ascii="宋体" w:hAnsi="宋体" w:eastAsia="宋体" w:cs="宋体"/>
        </w:rPr>
        <w:t>国家中医药管理局关于加强中医医疗机构</w:t>
      </w:r>
      <w:r>
        <w:rPr>
          <w:rFonts w:hint="eastAsia" w:ascii="宋体" w:hAnsi="宋体" w:eastAsia="宋体" w:cs="宋体"/>
          <w:lang w:val="en-US" w:eastAsia="zh-CN"/>
        </w:rPr>
        <w:t>高额</w:t>
      </w:r>
      <w:r>
        <w:rPr>
          <w:rFonts w:hint="eastAsia" w:ascii="宋体" w:hAnsi="宋体" w:eastAsia="宋体" w:cs="宋体"/>
        </w:rPr>
        <w:t>住院费用</w:t>
      </w:r>
      <w:r>
        <w:rPr>
          <w:rFonts w:hint="eastAsia" w:ascii="宋体" w:hAnsi="宋体" w:eastAsia="宋体" w:cs="宋体"/>
          <w:lang w:val="en-US" w:eastAsia="zh-CN"/>
        </w:rPr>
        <w:t>核查</w:t>
      </w:r>
      <w:r>
        <w:rPr>
          <w:rFonts w:hint="eastAsia" w:ascii="宋体" w:hAnsi="宋体" w:eastAsia="宋体" w:cs="宋体"/>
        </w:rPr>
        <w:t>的工作要求</w:t>
      </w:r>
      <w:r>
        <w:t>，抽样筛选</w:t>
      </w:r>
      <w:r>
        <w:rPr>
          <w:spacing w:val="-53"/>
        </w:rPr>
        <w:t xml:space="preserve"> </w:t>
      </w:r>
      <w:r>
        <w:rPr>
          <w:rFonts w:ascii="Calibri" w:hAnsi="Calibri" w:eastAsia="Calibri" w:cs="Calibri"/>
        </w:rPr>
        <w:t>202</w:t>
      </w:r>
      <w:r>
        <w:rPr>
          <w:rFonts w:hint="eastAsia" w:ascii="Calibri" w:hAnsi="Calibri" w:cs="Calibri"/>
          <w:lang w:val="en-US" w:eastAsia="zh-CN"/>
        </w:rPr>
        <w:t>4</w:t>
      </w:r>
      <w:r>
        <w:rPr>
          <w:rFonts w:ascii="Calibri" w:hAnsi="Calibri" w:eastAsia="Calibri" w:cs="Calibri"/>
          <w:spacing w:val="20"/>
          <w:w w:val="101"/>
        </w:rPr>
        <w:t xml:space="preserve"> </w:t>
      </w:r>
      <w:r>
        <w:t>年以来全国二级</w:t>
      </w:r>
      <w:r>
        <w:rPr>
          <w:spacing w:val="-1"/>
        </w:rPr>
        <w:t>及以</w:t>
      </w:r>
      <w:r>
        <w:t>上医疗机构单次住院费用超过</w:t>
      </w:r>
      <w:r>
        <w:rPr>
          <w:rFonts w:hint="eastAsia"/>
          <w:spacing w:val="-53"/>
          <w:lang w:val="en-US" w:eastAsia="zh-CN"/>
        </w:rPr>
        <w:t>5</w:t>
      </w:r>
      <w:r>
        <w:t>万元的病例，生成系统病</w:t>
      </w:r>
      <w:r>
        <w:rPr>
          <w:spacing w:val="-1"/>
        </w:rPr>
        <w:t>例核查列</w:t>
      </w:r>
      <w:r>
        <w:rPr>
          <w:spacing w:val="-4"/>
        </w:rPr>
        <w:t>表。省级</w:t>
      </w:r>
      <w:r>
        <w:rPr>
          <w:rFonts w:hint="eastAsia"/>
          <w:spacing w:val="-4"/>
          <w:lang w:val="en-US" w:eastAsia="zh-CN"/>
        </w:rPr>
        <w:t>中医药管理部门</w:t>
      </w:r>
      <w:r>
        <w:rPr>
          <w:spacing w:val="-4"/>
        </w:rPr>
        <w:t>组织专家组，分派工作任务开展专业评估和病例核查工作。并</w:t>
      </w:r>
      <w:r>
        <w:rPr>
          <w:spacing w:val="16"/>
        </w:rPr>
        <w:t xml:space="preserve"> </w:t>
      </w:r>
      <w:r>
        <w:rPr>
          <w:spacing w:val="-4"/>
        </w:rPr>
        <w:t>将核查结果填写或导入系统。</w:t>
      </w:r>
      <w:r>
        <w:rPr>
          <w:rFonts w:hint="eastAsia"/>
          <w:spacing w:val="-4"/>
          <w:lang w:val="en-US" w:eastAsia="zh-CN"/>
        </w:rPr>
        <w:t>国家中医药管理局</w:t>
      </w:r>
      <w:r>
        <w:rPr>
          <w:spacing w:val="-4"/>
        </w:rPr>
        <w:t>通过系统掌</w:t>
      </w:r>
      <w:r>
        <w:rPr>
          <w:spacing w:val="-1"/>
        </w:rPr>
        <w:t>握</w:t>
      </w:r>
      <w:r>
        <w:rPr>
          <w:rFonts w:hint="eastAsia"/>
          <w:spacing w:val="-1"/>
          <w:lang w:val="en-US" w:eastAsia="zh-CN"/>
        </w:rPr>
        <w:t>异常住院费用病例</w:t>
      </w:r>
      <w:r>
        <w:rPr>
          <w:spacing w:val="-1"/>
        </w:rPr>
        <w:t>核查结果和各省工作进展情况。</w:t>
      </w:r>
    </w:p>
    <w:p w14:paraId="3B41AB2E">
      <w:pPr>
        <w:pStyle w:val="2"/>
        <w:numPr>
          <w:ilvl w:val="0"/>
          <w:numId w:val="1"/>
        </w:numPr>
        <w:bidi w:val="0"/>
        <w:rPr>
          <w:rFonts w:hint="eastAsia"/>
          <w:lang w:val="en-US" w:eastAsia="zh-CN"/>
        </w:rPr>
      </w:pPr>
      <w:r>
        <w:rPr>
          <w:rFonts w:hint="eastAsia"/>
          <w:lang w:val="en-US" w:eastAsia="zh-CN"/>
        </w:rPr>
        <w:t>系统角色</w:t>
      </w:r>
    </w:p>
    <w:p w14:paraId="14E3ED04">
      <w:pPr>
        <w:pStyle w:val="3"/>
        <w:numPr>
          <w:ilvl w:val="0"/>
          <w:numId w:val="0"/>
        </w:numPr>
        <w:spacing w:before="261" w:line="410" w:lineRule="auto"/>
        <w:ind w:right="97" w:rightChars="0" w:firstLine="544" w:firstLineChars="200"/>
        <w:jc w:val="both"/>
        <w:rPr>
          <w:rFonts w:hint="default" w:ascii="宋体" w:hAnsi="宋体" w:eastAsia="宋体" w:cs="宋体"/>
          <w:spacing w:val="-4"/>
          <w:lang w:val="en-US" w:eastAsia="zh-CN"/>
        </w:rPr>
      </w:pPr>
      <w:r>
        <w:rPr>
          <w:rFonts w:hint="eastAsia" w:ascii="宋体" w:hAnsi="宋体" w:eastAsia="宋体" w:cs="宋体"/>
          <w:spacing w:val="-4"/>
          <w:lang w:val="en-US" w:eastAsia="zh-CN"/>
        </w:rPr>
        <w:t>核查系统角色主要分为3类，中医医院用户，省级中医药主管部门用户，核查专家用户。</w:t>
      </w:r>
    </w:p>
    <w:p w14:paraId="63B9DB7D">
      <w:pPr>
        <w:pStyle w:val="3"/>
        <w:spacing w:before="261" w:line="410" w:lineRule="auto"/>
        <w:ind w:left="48" w:right="97" w:firstLine="561"/>
        <w:jc w:val="both"/>
      </w:pPr>
      <w:r>
        <w:rPr>
          <w:rFonts w:ascii="Calibri" w:hAnsi="Calibri" w:eastAsia="Calibri" w:cs="Calibri"/>
          <w:b/>
          <w:bCs/>
          <w:spacing w:val="-3"/>
        </w:rPr>
        <w:t xml:space="preserve">1.  </w:t>
      </w:r>
      <w:r>
        <w:rPr>
          <w:rFonts w:hint="eastAsia" w:ascii="宋体" w:hAnsi="宋体" w:eastAsia="宋体" w:cs="宋体"/>
          <w:b/>
          <w:bCs/>
          <w:spacing w:val="-4"/>
          <w:lang w:val="en-US" w:eastAsia="zh-CN"/>
        </w:rPr>
        <w:t>中医医院用户</w:t>
      </w:r>
      <w:r>
        <w:rPr>
          <w:rFonts w:ascii="Calibri" w:hAnsi="Calibri" w:eastAsia="Calibri" w:cs="Calibri"/>
          <w:b/>
          <w:bCs/>
          <w:spacing w:val="-3"/>
        </w:rPr>
        <w:t>：</w:t>
      </w:r>
      <w:r>
        <w:rPr>
          <w:rFonts w:hint="eastAsia" w:ascii="宋体" w:hAnsi="宋体" w:eastAsia="宋体" w:cs="宋体"/>
          <w:spacing w:val="-4"/>
          <w:lang w:val="en-US" w:eastAsia="zh-CN"/>
        </w:rPr>
        <w:t>医院用户</w:t>
      </w:r>
      <w:r>
        <w:rPr>
          <w:rFonts w:ascii="宋体" w:hAnsi="宋体" w:eastAsia="宋体" w:cs="宋体"/>
          <w:spacing w:val="-4"/>
        </w:rPr>
        <w:t>登录系统后，根据系统提供的</w:t>
      </w:r>
      <w:r>
        <w:rPr>
          <w:rFonts w:hint="eastAsia" w:ascii="宋体" w:hAnsi="宋体" w:eastAsia="宋体" w:cs="宋体"/>
          <w:spacing w:val="-4"/>
          <w:lang w:val="en-US" w:eastAsia="zh-CN"/>
        </w:rPr>
        <w:t>国家抽查病例和省级抽查病例</w:t>
      </w:r>
      <w:r>
        <w:rPr>
          <w:rFonts w:ascii="宋体" w:hAnsi="宋体" w:eastAsia="宋体" w:cs="宋体"/>
          <w:spacing w:val="-4"/>
        </w:rPr>
        <w:t>，</w:t>
      </w:r>
      <w:r>
        <w:rPr>
          <w:rFonts w:hint="eastAsia" w:ascii="宋体" w:hAnsi="宋体" w:eastAsia="宋体" w:cs="宋体"/>
          <w:spacing w:val="-4"/>
          <w:lang w:val="en-US" w:eastAsia="zh-CN"/>
        </w:rPr>
        <w:t>上传病例对应的两单数据</w:t>
      </w:r>
      <w:r>
        <w:rPr>
          <w:rFonts w:ascii="宋体" w:hAnsi="宋体" w:eastAsia="宋体" w:cs="宋体"/>
          <w:spacing w:val="-4"/>
        </w:rPr>
        <w:t>。系统提供了详细的筛选条件，如</w:t>
      </w:r>
      <w:r>
        <w:rPr>
          <w:rFonts w:hint="eastAsia" w:ascii="宋体" w:hAnsi="宋体" w:eastAsia="宋体" w:cs="宋体"/>
          <w:spacing w:val="-4"/>
          <w:lang w:val="en-US" w:eastAsia="zh-CN"/>
        </w:rPr>
        <w:t>数据类型：医嘱单，费用清单，病案号</w:t>
      </w:r>
      <w:r>
        <w:rPr>
          <w:spacing w:val="-4"/>
        </w:rPr>
        <w:t>等，帮助</w:t>
      </w:r>
      <w:r>
        <w:rPr>
          <w:rFonts w:hint="eastAsia"/>
          <w:spacing w:val="-4"/>
          <w:lang w:val="en-US" w:eastAsia="zh-CN"/>
        </w:rPr>
        <w:t>中医医院用户</w:t>
      </w:r>
      <w:r>
        <w:rPr>
          <w:spacing w:val="-4"/>
        </w:rPr>
        <w:t>精</w:t>
      </w:r>
      <w:r>
        <w:rPr>
          <w:spacing w:val="-2"/>
        </w:rPr>
        <w:t>准定位需要</w:t>
      </w:r>
      <w:r>
        <w:rPr>
          <w:rFonts w:hint="eastAsia"/>
          <w:spacing w:val="-2"/>
          <w:lang w:val="en-US" w:eastAsia="zh-CN"/>
        </w:rPr>
        <w:t>上传两单数据的</w:t>
      </w:r>
      <w:r>
        <w:rPr>
          <w:spacing w:val="-2"/>
        </w:rPr>
        <w:t>病例。</w:t>
      </w:r>
    </w:p>
    <w:p w14:paraId="30434C0C">
      <w:pPr>
        <w:pStyle w:val="3"/>
        <w:spacing w:before="261" w:line="410" w:lineRule="auto"/>
        <w:ind w:left="48" w:right="97" w:firstLine="561"/>
        <w:jc w:val="both"/>
        <w:rPr>
          <w:rFonts w:hint="eastAsia" w:ascii="Calibri" w:hAnsi="Calibri" w:eastAsia="Calibri" w:cs="Calibri"/>
          <w:b/>
          <w:bCs/>
          <w:spacing w:val="-3"/>
          <w:lang w:val="en-US" w:eastAsia="zh-CN"/>
        </w:rPr>
      </w:pPr>
      <w:r>
        <w:rPr>
          <w:rFonts w:ascii="Calibri" w:hAnsi="Calibri" w:eastAsia="Calibri" w:cs="Calibri"/>
          <w:b/>
          <w:bCs/>
          <w:spacing w:val="-3"/>
        </w:rPr>
        <w:t xml:space="preserve">2.  </w:t>
      </w:r>
      <w:r>
        <w:rPr>
          <w:rFonts w:hint="eastAsia" w:ascii="Calibri" w:hAnsi="Calibri" w:eastAsia="Calibri" w:cs="Calibri"/>
          <w:b/>
          <w:bCs/>
          <w:spacing w:val="-3"/>
          <w:lang w:val="en-US" w:eastAsia="zh-CN"/>
        </w:rPr>
        <w:t>省级中医药主管部门用户</w:t>
      </w:r>
      <w:r>
        <w:rPr>
          <w:rFonts w:ascii="Calibri" w:hAnsi="Calibri" w:eastAsia="Calibri" w:cs="Calibri"/>
          <w:b/>
          <w:bCs/>
          <w:spacing w:val="-3"/>
        </w:rPr>
        <w:t>：</w:t>
      </w:r>
      <w:r>
        <w:rPr>
          <w:rFonts w:hint="eastAsia" w:ascii="Calibri" w:hAnsi="Calibri" w:eastAsia="Calibri" w:cs="Calibri"/>
          <w:b w:val="0"/>
          <w:bCs w:val="0"/>
          <w:spacing w:val="-3"/>
          <w:lang w:val="en-US" w:eastAsia="zh-CN"/>
        </w:rPr>
        <w:t>医院用户登录系统后，可以查看国家抽查病例列表和病例信息模版，上传省级抽查病例列表，以及在省级病例核查阶段上传专家信息并给专家分配需要核查的病例。</w:t>
      </w:r>
    </w:p>
    <w:p w14:paraId="1073BB60">
      <w:pPr>
        <w:pStyle w:val="3"/>
        <w:spacing w:before="261" w:line="410" w:lineRule="auto"/>
        <w:ind w:left="48" w:right="97" w:firstLine="561"/>
        <w:jc w:val="both"/>
        <w:rPr>
          <w:rFonts w:hint="eastAsia" w:ascii="Calibri" w:hAnsi="Calibri" w:eastAsia="宋体" w:cs="Calibri"/>
          <w:b w:val="0"/>
          <w:bCs w:val="0"/>
          <w:spacing w:val="-3"/>
          <w:lang w:val="en-US" w:eastAsia="zh-CN"/>
        </w:rPr>
      </w:pPr>
      <w:r>
        <w:rPr>
          <w:rFonts w:ascii="Calibri" w:hAnsi="Calibri" w:eastAsia="Calibri" w:cs="Calibri"/>
          <w:b/>
          <w:bCs/>
          <w:spacing w:val="-3"/>
        </w:rPr>
        <w:t xml:space="preserve">3.  </w:t>
      </w:r>
      <w:r>
        <w:rPr>
          <w:rFonts w:hint="eastAsia" w:ascii="Calibri" w:hAnsi="Calibri" w:cs="Calibri"/>
          <w:b/>
          <w:bCs/>
          <w:spacing w:val="-3"/>
          <w:lang w:val="en-US" w:eastAsia="zh-CN"/>
        </w:rPr>
        <w:t>核查专家用户</w:t>
      </w:r>
      <w:r>
        <w:rPr>
          <w:rFonts w:ascii="Calibri" w:hAnsi="Calibri" w:eastAsia="Calibri" w:cs="Calibri"/>
          <w:b/>
          <w:bCs/>
          <w:spacing w:val="-3"/>
        </w:rPr>
        <w:t>：</w:t>
      </w:r>
      <w:r>
        <w:rPr>
          <w:rFonts w:hint="eastAsia" w:ascii="Calibri" w:hAnsi="Calibri" w:eastAsia="Calibri" w:cs="Calibri"/>
          <w:b w:val="0"/>
          <w:bCs w:val="0"/>
          <w:spacing w:val="-3"/>
          <w:lang w:val="en-US" w:eastAsia="zh-CN"/>
        </w:rPr>
        <w:t>专家登录系统后，</w:t>
      </w:r>
      <w:r>
        <w:rPr>
          <w:spacing w:val="3"/>
        </w:rPr>
        <w:t>根据系统提供的病例列表</w:t>
      </w:r>
      <w:r>
        <w:rPr>
          <w:spacing w:val="2"/>
        </w:rPr>
        <w:t>，对</w:t>
      </w:r>
      <w:r>
        <w:t xml:space="preserve"> </w:t>
      </w:r>
      <w:r>
        <w:rPr>
          <w:rFonts w:hint="eastAsia"/>
          <w:spacing w:val="-4"/>
          <w:lang w:val="en-US" w:eastAsia="zh-CN"/>
        </w:rPr>
        <w:t>中医医院异常</w:t>
      </w:r>
      <w:r>
        <w:rPr>
          <w:spacing w:val="-4"/>
        </w:rPr>
        <w:t>住院费用病例进行细致核查。系统提供了详细的筛选条件，如</w:t>
      </w:r>
      <w:r>
        <w:rPr>
          <w:spacing w:val="12"/>
        </w:rPr>
        <w:t xml:space="preserve"> </w:t>
      </w:r>
      <w:r>
        <w:rPr>
          <w:spacing w:val="-4"/>
        </w:rPr>
        <w:t>省份名称、医院名称、出院科室、病案号、核查结论等，帮助专家精</w:t>
      </w:r>
      <w:r>
        <w:rPr>
          <w:spacing w:val="-2"/>
        </w:rPr>
        <w:t>准定位需要核查的病例</w:t>
      </w:r>
      <w:r>
        <w:rPr>
          <w:rFonts w:hint="eastAsia"/>
          <w:spacing w:val="-2"/>
          <w:lang w:eastAsia="zh-CN"/>
        </w:rPr>
        <w:t>。</w:t>
      </w:r>
    </w:p>
    <w:p w14:paraId="2616932B">
      <w:pPr>
        <w:pStyle w:val="2"/>
        <w:bidi w:val="0"/>
        <w:rPr>
          <w:rFonts w:hint="default"/>
          <w:lang w:val="en-US" w:eastAsia="zh-CN"/>
        </w:rPr>
      </w:pPr>
      <w:r>
        <w:rPr>
          <w:rFonts w:hint="eastAsia"/>
          <w:lang w:val="en-US" w:eastAsia="zh-CN"/>
        </w:rPr>
        <w:t>三、登录界面</w:t>
      </w:r>
    </w:p>
    <w:p w14:paraId="72E7CDAF">
      <w:pPr>
        <w:pStyle w:val="3"/>
        <w:spacing w:before="263" w:line="221" w:lineRule="auto"/>
        <w:ind w:left="34"/>
        <w:outlineLvl w:val="1"/>
      </w:pPr>
      <w:r>
        <w:rPr>
          <w:rFonts w:ascii="Calibri" w:hAnsi="Calibri" w:eastAsia="Calibri" w:cs="Calibri"/>
          <w:b/>
          <w:bCs/>
          <w:spacing w:val="-6"/>
        </w:rPr>
        <w:t>1.</w:t>
      </w:r>
      <w:r>
        <w:rPr>
          <w:rFonts w:ascii="Calibri" w:hAnsi="Calibri" w:eastAsia="Calibri" w:cs="Calibri"/>
          <w:b/>
          <w:bCs/>
          <w:spacing w:val="14"/>
        </w:rPr>
        <w:t xml:space="preserve">  </w:t>
      </w:r>
      <w:r>
        <w:rPr>
          <w:b/>
          <w:bCs/>
          <w:spacing w:val="-6"/>
        </w:rPr>
        <w:t>系统地址页面</w:t>
      </w:r>
    </w:p>
    <w:p w14:paraId="06C7B9FA">
      <w:pPr>
        <w:pStyle w:val="3"/>
        <w:spacing w:before="287" w:line="213" w:lineRule="auto"/>
        <w:ind w:left="591"/>
        <w:rPr>
          <w:rFonts w:hint="eastAsia"/>
          <w:spacing w:val="-1"/>
          <w:u w:val="single"/>
        </w:rPr>
      </w:pPr>
      <w:r>
        <w:rPr>
          <w:spacing w:val="-1"/>
        </w:rPr>
        <w:t>网址：</w:t>
      </w:r>
      <w:r>
        <w:rPr>
          <w:rFonts w:hint="eastAsia"/>
          <w:spacing w:val="-1"/>
          <w:u w:val="single"/>
        </w:rPr>
        <w:fldChar w:fldCharType="begin"/>
      </w:r>
      <w:r>
        <w:rPr>
          <w:rFonts w:hint="eastAsia"/>
          <w:spacing w:val="-1"/>
          <w:u w:val="single"/>
        </w:rPr>
        <w:instrText xml:space="preserve"> HYPERLINK "http://basy.ndctcm.cn:8000" </w:instrText>
      </w:r>
      <w:r>
        <w:rPr>
          <w:rFonts w:hint="eastAsia"/>
          <w:spacing w:val="-1"/>
          <w:u w:val="single"/>
        </w:rPr>
        <w:fldChar w:fldCharType="separate"/>
      </w:r>
      <w:r>
        <w:rPr>
          <w:rStyle w:val="7"/>
          <w:rFonts w:hint="eastAsia"/>
          <w:spacing w:val="-1"/>
        </w:rPr>
        <w:t>http://basy.ndctcm.cn:8000</w:t>
      </w:r>
      <w:r>
        <w:rPr>
          <w:rFonts w:hint="eastAsia"/>
          <w:spacing w:val="-1"/>
          <w:u w:val="single"/>
        </w:rPr>
        <w:fldChar w:fldCharType="end"/>
      </w:r>
    </w:p>
    <w:p w14:paraId="68D23965">
      <w:pPr>
        <w:pStyle w:val="3"/>
        <w:spacing w:before="287" w:line="213" w:lineRule="auto"/>
        <w:ind w:left="591"/>
        <w:rPr>
          <w:rFonts w:hint="default"/>
          <w:spacing w:val="-1"/>
          <w:u w:val="single"/>
          <w:lang w:val="en-US" w:eastAsia="zh-CN"/>
        </w:rPr>
      </w:pPr>
      <w:r>
        <w:rPr>
          <w:rFonts w:hint="default"/>
          <w:spacing w:val="-1"/>
          <w:u w:val="single"/>
          <w:lang w:val="en-US" w:eastAsia="zh-CN"/>
        </w:rPr>
        <w:drawing>
          <wp:inline distT="0" distB="0" distL="114300" distR="114300">
            <wp:extent cx="5429885" cy="1845945"/>
            <wp:effectExtent l="0" t="0" r="5715" b="8255"/>
            <wp:docPr id="5" name="图片 5" descr="登录界面-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登录界面-2"/>
                    <pic:cNvPicPr>
                      <a:picLocks noChangeAspect="1"/>
                    </pic:cNvPicPr>
                  </pic:nvPicPr>
                  <pic:blipFill>
                    <a:blip r:embed="rId8"/>
                    <a:stretch>
                      <a:fillRect/>
                    </a:stretch>
                  </pic:blipFill>
                  <pic:spPr>
                    <a:xfrm>
                      <a:off x="0" y="0"/>
                      <a:ext cx="5429885" cy="1845945"/>
                    </a:xfrm>
                    <a:prstGeom prst="rect">
                      <a:avLst/>
                    </a:prstGeom>
                  </pic:spPr>
                </pic:pic>
              </a:graphicData>
            </a:graphic>
          </wp:inline>
        </w:drawing>
      </w:r>
    </w:p>
    <w:p w14:paraId="5F7841CA">
      <w:pPr>
        <w:pStyle w:val="3"/>
        <w:spacing w:before="291" w:line="413" w:lineRule="auto"/>
        <w:ind w:right="141"/>
      </w:pPr>
    </w:p>
    <w:p w14:paraId="630ECA20">
      <w:pPr>
        <w:pStyle w:val="3"/>
        <w:spacing w:before="308" w:line="220" w:lineRule="auto"/>
        <w:ind w:left="25"/>
        <w:outlineLvl w:val="1"/>
      </w:pPr>
      <w:r>
        <w:rPr>
          <w:rFonts w:hint="eastAsia" w:ascii="Calibri" w:hAnsi="Calibri" w:cs="Calibri"/>
          <w:b/>
          <w:bCs/>
          <w:spacing w:val="-2"/>
          <w:lang w:val="en-US" w:eastAsia="zh-CN"/>
        </w:rPr>
        <w:t>2.</w:t>
      </w:r>
      <w:r>
        <w:rPr>
          <w:rFonts w:ascii="Calibri" w:hAnsi="Calibri" w:eastAsia="Calibri" w:cs="Calibri"/>
          <w:b/>
          <w:bCs/>
          <w:spacing w:val="-2"/>
        </w:rPr>
        <w:t xml:space="preserve"> </w:t>
      </w:r>
      <w:r>
        <w:rPr>
          <w:b/>
          <w:bCs/>
          <w:spacing w:val="-2"/>
        </w:rPr>
        <w:t>修改密码和个人信息</w:t>
      </w:r>
    </w:p>
    <w:p w14:paraId="73C194A8">
      <w:pPr>
        <w:pStyle w:val="3"/>
        <w:spacing w:before="292" w:line="405" w:lineRule="auto"/>
        <w:ind w:left="27" w:right="52" w:firstLine="561"/>
      </w:pPr>
      <w:r>
        <w:rPr>
          <w:spacing w:val="-4"/>
        </w:rPr>
        <w:t>首次登录，系统强制修改初始密码。后续登录，可点击系统页面</w:t>
      </w:r>
      <w:r>
        <w:rPr>
          <w:spacing w:val="2"/>
        </w:rPr>
        <w:t xml:space="preserve"> </w:t>
      </w:r>
      <w:r>
        <w:rPr>
          <w:spacing w:val="-1"/>
        </w:rPr>
        <w:t>右上角设置按钮，修改密码和个人信息。</w:t>
      </w:r>
    </w:p>
    <w:p w14:paraId="75D4BE95">
      <w:pPr>
        <w:pStyle w:val="2"/>
        <w:numPr>
          <w:ilvl w:val="0"/>
          <w:numId w:val="0"/>
        </w:numPr>
        <w:bidi w:val="0"/>
        <w:ind w:left="57" w:leftChars="0"/>
        <w:rPr>
          <w:rFonts w:hint="eastAsia"/>
          <w:lang w:val="en-US" w:eastAsia="zh-CN"/>
        </w:rPr>
      </w:pPr>
      <w:r>
        <w:rPr>
          <w:rFonts w:hint="eastAsia"/>
          <w:lang w:val="en-US" w:eastAsia="zh-CN"/>
        </w:rPr>
        <w:t>四、中医医院用户操作界面</w:t>
      </w:r>
    </w:p>
    <w:p w14:paraId="5DE8E851">
      <w:pPr>
        <w:pStyle w:val="3"/>
        <w:spacing w:before="261" w:line="410" w:lineRule="auto"/>
        <w:ind w:left="48" w:right="97" w:firstLine="561"/>
        <w:jc w:val="both"/>
        <w:rPr>
          <w:rFonts w:hint="default" w:ascii="宋体" w:hAnsi="宋体" w:eastAsia="宋体" w:cs="宋体"/>
          <w:spacing w:val="-4"/>
          <w:lang w:val="en-US" w:eastAsia="zh-CN"/>
        </w:rPr>
      </w:pPr>
      <w:r>
        <w:rPr>
          <w:rFonts w:hint="eastAsia" w:ascii="宋体" w:hAnsi="宋体" w:eastAsia="宋体" w:cs="宋体"/>
          <w:spacing w:val="-4"/>
          <w:lang w:val="en-US" w:eastAsia="zh-CN"/>
        </w:rPr>
        <w:t>中医医院用户可下载病案首页信息模版、两单数据的接口文档和系统操作手册。并分别对国家抽查病例上传两单数据，对省级抽查病例上传病案首页数据，两单数据，对国家复核病例上传全病历数据。在TCMMS系统中的中医医院，不允许重传病案首页数据，数据上传要保证顺序，先上传医嘱单，再上传费用单。界面如下所示：</w:t>
      </w:r>
    </w:p>
    <w:p w14:paraId="1EFB473E">
      <w:pPr>
        <w:pStyle w:val="3"/>
        <w:spacing w:before="261" w:line="410" w:lineRule="auto"/>
        <w:ind w:left="48" w:right="97" w:firstLine="561"/>
        <w:jc w:val="both"/>
        <w:rPr>
          <w:rFonts w:hint="eastAsia" w:ascii="宋体" w:hAnsi="宋体" w:eastAsia="宋体" w:cs="宋体"/>
          <w:spacing w:val="-4"/>
          <w:lang w:val="en-US" w:eastAsia="zh-CN"/>
        </w:rPr>
      </w:pPr>
      <w:r>
        <w:rPr>
          <w:rFonts w:hint="eastAsia" w:ascii="宋体" w:hAnsi="宋体" w:eastAsia="宋体" w:cs="宋体"/>
          <w:spacing w:val="-4"/>
          <w:lang w:val="en-US" w:eastAsia="zh-CN"/>
        </w:rPr>
        <w:drawing>
          <wp:inline distT="0" distB="0" distL="114300" distR="114300">
            <wp:extent cx="4843780" cy="2224405"/>
            <wp:effectExtent l="0" t="0" r="7620" b="10795"/>
            <wp:docPr id="6" name="图片 6" descr="中医医院用户-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中医医院用户-1"/>
                    <pic:cNvPicPr>
                      <a:picLocks noChangeAspect="1"/>
                    </pic:cNvPicPr>
                  </pic:nvPicPr>
                  <pic:blipFill>
                    <a:blip r:embed="rId9"/>
                    <a:stretch>
                      <a:fillRect/>
                    </a:stretch>
                  </pic:blipFill>
                  <pic:spPr>
                    <a:xfrm>
                      <a:off x="0" y="0"/>
                      <a:ext cx="4843780" cy="2224405"/>
                    </a:xfrm>
                    <a:prstGeom prst="rect">
                      <a:avLst/>
                    </a:prstGeom>
                  </pic:spPr>
                </pic:pic>
              </a:graphicData>
            </a:graphic>
          </wp:inline>
        </w:drawing>
      </w:r>
    </w:p>
    <w:p w14:paraId="6C457BA4">
      <w:pPr>
        <w:pStyle w:val="3"/>
        <w:spacing w:before="261" w:line="410" w:lineRule="auto"/>
        <w:ind w:left="48" w:right="97" w:firstLine="561"/>
        <w:jc w:val="both"/>
        <w:rPr>
          <w:rFonts w:hint="eastAsia" w:ascii="宋体" w:hAnsi="宋体" w:eastAsia="宋体" w:cs="宋体"/>
          <w:spacing w:val="-4"/>
          <w:lang w:val="en-US" w:eastAsia="zh-CN"/>
        </w:rPr>
      </w:pPr>
      <w:r>
        <w:rPr>
          <w:rFonts w:hint="eastAsia" w:ascii="宋体" w:hAnsi="宋体" w:eastAsia="宋体" w:cs="宋体"/>
          <w:spacing w:val="-4"/>
          <w:lang w:val="en-US" w:eastAsia="zh-CN"/>
        </w:rPr>
        <w:drawing>
          <wp:inline distT="0" distB="0" distL="114300" distR="114300">
            <wp:extent cx="4857750" cy="2148840"/>
            <wp:effectExtent l="0" t="0" r="6350" b="10160"/>
            <wp:docPr id="7" name="图片 7" descr="中医医院用户-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中医医院用户-2"/>
                    <pic:cNvPicPr>
                      <a:picLocks noChangeAspect="1"/>
                    </pic:cNvPicPr>
                  </pic:nvPicPr>
                  <pic:blipFill>
                    <a:blip r:embed="rId10"/>
                    <a:stretch>
                      <a:fillRect/>
                    </a:stretch>
                  </pic:blipFill>
                  <pic:spPr>
                    <a:xfrm>
                      <a:off x="0" y="0"/>
                      <a:ext cx="4857750" cy="2148840"/>
                    </a:xfrm>
                    <a:prstGeom prst="rect">
                      <a:avLst/>
                    </a:prstGeom>
                  </pic:spPr>
                </pic:pic>
              </a:graphicData>
            </a:graphic>
          </wp:inline>
        </w:drawing>
      </w:r>
    </w:p>
    <w:p w14:paraId="51D89BAB">
      <w:pPr>
        <w:pStyle w:val="3"/>
        <w:spacing w:before="261" w:line="410" w:lineRule="auto"/>
        <w:ind w:left="48" w:right="97" w:firstLine="561"/>
        <w:jc w:val="both"/>
        <w:rPr>
          <w:rFonts w:hint="eastAsia" w:ascii="宋体" w:hAnsi="宋体" w:eastAsia="宋体" w:cs="宋体"/>
          <w:spacing w:val="-4"/>
          <w:lang w:val="en-US" w:eastAsia="zh-CN"/>
        </w:rPr>
      </w:pPr>
      <w:r>
        <w:rPr>
          <w:rFonts w:hint="eastAsia" w:ascii="宋体" w:hAnsi="宋体" w:eastAsia="宋体" w:cs="宋体"/>
          <w:spacing w:val="-4"/>
          <w:lang w:val="en-US" w:eastAsia="zh-CN"/>
        </w:rPr>
        <w:t>用户在上传完数据之后，可以通过点击查看详情按钮，查看上传的数据详情，如下图所示：</w:t>
      </w:r>
    </w:p>
    <w:p w14:paraId="7FB34F34">
      <w:pPr>
        <w:pStyle w:val="3"/>
        <w:spacing w:before="261" w:line="410" w:lineRule="auto"/>
        <w:ind w:left="48" w:right="97" w:firstLine="561"/>
        <w:jc w:val="both"/>
        <w:rPr>
          <w:rFonts w:hint="eastAsia" w:ascii="宋体" w:hAnsi="宋体" w:eastAsia="宋体" w:cs="宋体"/>
          <w:spacing w:val="-4"/>
          <w:lang w:val="en-US" w:eastAsia="zh-CN"/>
        </w:rPr>
      </w:pPr>
      <w:r>
        <w:drawing>
          <wp:inline distT="0" distB="0" distL="114300" distR="114300">
            <wp:extent cx="4696460" cy="2123440"/>
            <wp:effectExtent l="0" t="0" r="2540" b="1016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1"/>
                    <a:stretch>
                      <a:fillRect/>
                    </a:stretch>
                  </pic:blipFill>
                  <pic:spPr>
                    <a:xfrm>
                      <a:off x="0" y="0"/>
                      <a:ext cx="4696460" cy="2123440"/>
                    </a:xfrm>
                    <a:prstGeom prst="rect">
                      <a:avLst/>
                    </a:prstGeom>
                    <a:noFill/>
                    <a:ln>
                      <a:noFill/>
                    </a:ln>
                  </pic:spPr>
                </pic:pic>
              </a:graphicData>
            </a:graphic>
          </wp:inline>
        </w:drawing>
      </w:r>
    </w:p>
    <w:p w14:paraId="5E0ECC01">
      <w:pPr>
        <w:pStyle w:val="2"/>
        <w:numPr>
          <w:ilvl w:val="0"/>
          <w:numId w:val="0"/>
        </w:numPr>
        <w:bidi w:val="0"/>
        <w:ind w:left="57" w:leftChars="0"/>
        <w:rPr>
          <w:rFonts w:hint="eastAsia"/>
          <w:lang w:val="en-US" w:eastAsia="zh-CN"/>
        </w:rPr>
      </w:pPr>
      <w:r>
        <w:rPr>
          <w:rFonts w:hint="eastAsia"/>
          <w:lang w:val="en-US" w:eastAsia="zh-CN"/>
        </w:rPr>
        <w:t>五、省级中医药主管部门用户操作界面</w:t>
      </w:r>
    </w:p>
    <w:p w14:paraId="5B54FBD8">
      <w:pPr>
        <w:pStyle w:val="3"/>
        <w:spacing w:before="261" w:line="410" w:lineRule="auto"/>
        <w:ind w:left="48" w:right="97" w:firstLine="561"/>
        <w:jc w:val="both"/>
        <w:rPr>
          <w:rFonts w:hint="eastAsia" w:ascii="宋体" w:hAnsi="宋体" w:eastAsia="宋体" w:cs="宋体"/>
          <w:spacing w:val="-4"/>
          <w:lang w:val="en-US" w:eastAsia="zh-CN"/>
        </w:rPr>
      </w:pPr>
      <w:r>
        <w:rPr>
          <w:rFonts w:hint="eastAsia" w:ascii="宋体" w:hAnsi="宋体" w:eastAsia="宋体" w:cs="宋体"/>
          <w:spacing w:val="-4"/>
          <w:lang w:val="en-US" w:eastAsia="zh-CN"/>
        </w:rPr>
        <w:t>省级中医药主管部门用户可查看国家层面核查病例信息，下载核查病例信息模版，上传省级抽查病例信息，显示省辖区内各中医医院上传两单数据进度以及在省级核查阶段，下载核查专家信息模版，上传专家信息，并通过系统为专家分配核查病例，在国家复核阶段显示国家复核病例列表，上传复核病例全病历信息及查看国家反馈的国家复核报告。界面如下图所示：</w:t>
      </w:r>
    </w:p>
    <w:p w14:paraId="39A71B8D">
      <w:pPr>
        <w:pStyle w:val="3"/>
        <w:spacing w:before="261" w:line="410" w:lineRule="auto"/>
        <w:ind w:left="48" w:right="97" w:firstLine="561"/>
        <w:jc w:val="both"/>
        <w:rPr>
          <w:rFonts w:hint="default" w:ascii="宋体" w:hAnsi="宋体" w:eastAsia="宋体" w:cs="宋体"/>
          <w:spacing w:val="-4"/>
          <w:lang w:val="en-US" w:eastAsia="zh-CN"/>
        </w:rPr>
      </w:pPr>
      <w:r>
        <w:rPr>
          <w:rFonts w:hint="default" w:ascii="宋体" w:hAnsi="宋体" w:eastAsia="宋体" w:cs="宋体"/>
          <w:spacing w:val="-4"/>
          <w:lang w:val="en-US" w:eastAsia="zh-CN"/>
        </w:rPr>
        <w:drawing>
          <wp:inline distT="0" distB="0" distL="114300" distR="114300">
            <wp:extent cx="4483100" cy="2044700"/>
            <wp:effectExtent l="0" t="0" r="0" b="0"/>
            <wp:docPr id="9" name="图片 9" descr="省级-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省级-1"/>
                    <pic:cNvPicPr>
                      <a:picLocks noChangeAspect="1"/>
                    </pic:cNvPicPr>
                  </pic:nvPicPr>
                  <pic:blipFill>
                    <a:blip r:embed="rId12"/>
                    <a:stretch>
                      <a:fillRect/>
                    </a:stretch>
                  </pic:blipFill>
                  <pic:spPr>
                    <a:xfrm>
                      <a:off x="0" y="0"/>
                      <a:ext cx="4483100" cy="2044700"/>
                    </a:xfrm>
                    <a:prstGeom prst="rect">
                      <a:avLst/>
                    </a:prstGeom>
                  </pic:spPr>
                </pic:pic>
              </a:graphicData>
            </a:graphic>
          </wp:inline>
        </w:drawing>
      </w:r>
    </w:p>
    <w:p w14:paraId="4AB03701">
      <w:pPr>
        <w:pStyle w:val="3"/>
        <w:spacing w:before="261" w:line="410" w:lineRule="auto"/>
        <w:ind w:left="48" w:right="97" w:firstLine="561"/>
        <w:jc w:val="both"/>
        <w:rPr>
          <w:rFonts w:hint="default" w:ascii="宋体" w:hAnsi="宋体" w:eastAsia="宋体" w:cs="宋体"/>
          <w:spacing w:val="-4"/>
          <w:lang w:val="en-US" w:eastAsia="zh-CN"/>
        </w:rPr>
      </w:pPr>
      <w:r>
        <w:rPr>
          <w:rFonts w:hint="default" w:ascii="宋体" w:hAnsi="宋体" w:eastAsia="宋体" w:cs="宋体"/>
          <w:spacing w:val="-4"/>
          <w:lang w:val="en-US" w:eastAsia="zh-CN"/>
        </w:rPr>
        <w:drawing>
          <wp:inline distT="0" distB="0" distL="114300" distR="114300">
            <wp:extent cx="4607560" cy="2180590"/>
            <wp:effectExtent l="0" t="0" r="2540" b="3810"/>
            <wp:docPr id="10" name="图片 10" descr="省级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省级2"/>
                    <pic:cNvPicPr>
                      <a:picLocks noChangeAspect="1"/>
                    </pic:cNvPicPr>
                  </pic:nvPicPr>
                  <pic:blipFill>
                    <a:blip r:embed="rId13"/>
                    <a:stretch>
                      <a:fillRect/>
                    </a:stretch>
                  </pic:blipFill>
                  <pic:spPr>
                    <a:xfrm>
                      <a:off x="0" y="0"/>
                      <a:ext cx="4607560" cy="2180590"/>
                    </a:xfrm>
                    <a:prstGeom prst="rect">
                      <a:avLst/>
                    </a:prstGeom>
                  </pic:spPr>
                </pic:pic>
              </a:graphicData>
            </a:graphic>
          </wp:inline>
        </w:drawing>
      </w:r>
    </w:p>
    <w:sectPr>
      <w:headerReference r:id="rId5" w:type="default"/>
      <w:footerReference r:id="rId6" w:type="default"/>
      <w:pgSz w:w="11906" w:h="16839"/>
      <w:pgMar w:top="1210" w:right="1581" w:bottom="1152" w:left="1785" w:header="841" w:footer="98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4302C">
    <w:pPr>
      <w:spacing w:line="169" w:lineRule="auto"/>
      <w:ind w:left="4129"/>
      <w:rPr>
        <w:rFonts w:ascii="Calibri" w:hAnsi="Calibri" w:eastAsia="Calibri" w:cs="Calibri"/>
        <w:sz w:val="18"/>
        <w:szCs w:val="18"/>
      </w:rPr>
    </w:pPr>
    <w:r>
      <w:rPr>
        <w:rFonts w:ascii="Calibri" w:hAnsi="Calibri" w:eastAsia="Calibri" w:cs="Calibri"/>
        <w:sz w:val="18"/>
        <w:szCs w:val="18"/>
      </w:rP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E3CBD">
    <w:pPr>
      <w:pStyle w:val="3"/>
      <w:spacing w:before="65" w:line="219" w:lineRule="auto"/>
      <w:ind w:left="225"/>
      <w:rPr>
        <w:rFonts w:ascii="Calibri" w:hAnsi="Calibri" w:eastAsia="Calibri" w:cs="Calibri"/>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12F021"/>
    <w:multiLevelType w:val="singleLevel"/>
    <w:tmpl w:val="1F12F02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7F32675"/>
    <w:rsid w:val="0AAC36DA"/>
    <w:rsid w:val="0E5F03F5"/>
    <w:rsid w:val="13522D07"/>
    <w:rsid w:val="264A1280"/>
    <w:rsid w:val="29A31983"/>
    <w:rsid w:val="43F549E0"/>
    <w:rsid w:val="4A4D6519"/>
    <w:rsid w:val="70FA1F33"/>
    <w:rsid w:val="73F56759"/>
    <w:rsid w:val="755B44A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宋体" w:hAnsi="宋体" w:eastAsia="宋体" w:cs="宋体"/>
      <w:sz w:val="28"/>
      <w:szCs w:val="28"/>
      <w:lang w:val="en-US" w:eastAsia="en-US" w:bidi="ar-SA"/>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Hyperlink"/>
    <w:basedOn w:val="6"/>
    <w:qFormat/>
    <w:uiPriority w:val="0"/>
    <w:rPr>
      <w:color w:val="0000FF"/>
      <w:u w:val="single"/>
    </w:rPr>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972</Words>
  <Characters>1009</Characters>
  <TotalTime>10</TotalTime>
  <ScaleCrop>false</ScaleCrop>
  <LinksUpToDate>false</LinksUpToDate>
  <CharactersWithSpaces>1024</CharactersWithSpaces>
  <Application>WPS Office_12.1.0.20305_F1E327BC-269C-435d-A152-05C5408002CA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2024-07-09T11:36:00Z</dcterms:created>
  <dc:creator>尔嵩</dc:creator>
  <cp:lastModifiedBy>小小</cp:lastModifiedBy>
  <dcterms:modified xsi:type="dcterms:W3CDTF">2025-04-03T10:09:25Z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2025-04-02T11:42:13Z</vt:filetime>
  </property>
  <property fmtid="{D5CDD505-2E9C-101B-9397-08002B2CF9AE}" pid="4" name="KSOTemplateDocerSaveRecord">
    <vt:lpwstr>eyJoZGlkIjoiMGM4YzYzZTFmNThlOGNhOGU4M2EwMDE3NTJhNjIzOTIiLCJ1c2VySWQiOiIxMDY2MDgzMTA0In0=</vt:lpwstr>
  </property>
  <property fmtid="{D5CDD505-2E9C-101B-9397-08002B2CF9AE}" pid="5" name="KSOProductBuildVer">
    <vt:lpwstr>2052-12.1.0.20305</vt:lpwstr>
  </property>
  <property fmtid="{D5CDD505-2E9C-101B-9397-08002B2CF9AE}" pid="6" name="ICV">
    <vt:lpwstr>853539C80265401D90E69481B6F9FC23_12</vt:lpwstr>
  </property>
</Properties>
</file>