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电子病历病人列表，选择</w:t>
      </w:r>
      <w:bookmarkStart w:id="0" w:name="_GoBack"/>
      <w:bookmarkEnd w:id="0"/>
      <w:r>
        <w:rPr>
          <w:rFonts w:hint="eastAsia"/>
          <w:lang w:val="en-US" w:eastAsia="zh-CN"/>
        </w:rPr>
        <w:t>扶贫病人右键，选择修改病种编码，弹出窗口，将修改病种更改为扶贫病种</w:t>
      </w:r>
    </w:p>
    <w:p/>
    <w:p>
      <w:r>
        <w:drawing>
          <wp:inline distT="0" distB="0" distL="114300" distR="114300">
            <wp:extent cx="5266690" cy="368490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4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6690" cy="37630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B0CC7"/>
    <w:rsid w:val="34E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2020-04-26T03:36:32Z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