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50" w:line="300" w:lineRule="auto"/>
        <w:jc w:val="center"/>
        <w:rPr>
          <w:rFonts w:ascii="仿宋_GB2312" w:hAnsi="Times New Roman" w:eastAsia="仿宋_GB2312" w:cs="Times New Roman"/>
          <w:b/>
          <w:sz w:val="52"/>
          <w:szCs w:val="52"/>
        </w:rPr>
      </w:pPr>
    </w:p>
    <w:p>
      <w:pPr>
        <w:spacing w:before="50" w:line="300" w:lineRule="auto"/>
        <w:jc w:val="center"/>
        <w:rPr>
          <w:rFonts w:ascii="仿宋_GB2312" w:hAnsi="Times New Roman" w:eastAsia="仿宋_GB2312" w:cs="Times New Roman"/>
          <w:b/>
          <w:sz w:val="52"/>
          <w:szCs w:val="52"/>
        </w:rPr>
      </w:pPr>
    </w:p>
    <w:p>
      <w:pPr>
        <w:spacing w:before="50" w:line="300" w:lineRule="auto"/>
        <w:jc w:val="center"/>
        <w:outlineLvl w:val="0"/>
        <w:rPr>
          <w:rFonts w:ascii="仿宋_GB2312" w:hAnsi="Times New Roman" w:eastAsia="仿宋_GB2312" w:cs="Times New Roman"/>
          <w:b/>
          <w:sz w:val="52"/>
          <w:szCs w:val="52"/>
        </w:rPr>
      </w:pPr>
      <w:bookmarkStart w:id="0" w:name="_Toc358216796"/>
      <w:bookmarkStart w:id="1" w:name="_Toc358364908"/>
      <w:r>
        <w:rPr>
          <w:rFonts w:hint="eastAsia" w:ascii="仿宋_GB2312" w:hAnsi="Times New Roman" w:eastAsia="仿宋_GB2312" w:cs="Times New Roman"/>
          <w:b/>
          <w:sz w:val="52"/>
          <w:szCs w:val="52"/>
        </w:rPr>
        <w:t>莆田市医院血费报销管理系统</w:t>
      </w:r>
      <w:bookmarkEnd w:id="0"/>
      <w:bookmarkEnd w:id="1"/>
    </w:p>
    <w:p>
      <w:pPr>
        <w:spacing w:before="50" w:line="300" w:lineRule="auto"/>
        <w:jc w:val="center"/>
        <w:rPr>
          <w:rFonts w:ascii="仿宋_GB2312" w:hAnsi="Times New Roman" w:eastAsia="仿宋_GB2312" w:cs="Times New Roman"/>
          <w:b/>
          <w:sz w:val="52"/>
          <w:szCs w:val="52"/>
        </w:rPr>
      </w:pPr>
      <w:r>
        <w:rPr>
          <w:rFonts w:hint="eastAsia" w:ascii="仿宋_GB2312" w:hAnsi="Times New Roman" w:eastAsia="仿宋_GB2312" w:cs="Times New Roman"/>
          <w:b/>
          <w:sz w:val="52"/>
          <w:szCs w:val="52"/>
        </w:rPr>
        <w:t>流程调整方案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框 1026" o:spid="_x0000_s1027" type="#_x0000_t75" style="height:69pt;width:171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spacing w:beforeLines="100" w:line="300" w:lineRule="auto"/>
        <w:jc w:val="center"/>
        <w:rPr>
          <w:rFonts w:ascii="仿宋_GB2312" w:hAnsi="Times New Roman" w:eastAsia="仿宋_GB2312" w:cs="Times New Roman"/>
          <w:b/>
          <w:sz w:val="32"/>
          <w:szCs w:val="44"/>
        </w:rPr>
      </w:pPr>
      <w:r>
        <w:rPr>
          <w:rFonts w:hint="eastAsia" w:ascii="仿宋_GB2312" w:hAnsi="Times New Roman" w:eastAsia="仿宋_GB2312" w:cs="Times New Roman"/>
          <w:b/>
          <w:sz w:val="32"/>
          <w:szCs w:val="44"/>
        </w:rPr>
        <w:t>唐山启奥科技有限公司</w:t>
      </w:r>
    </w:p>
    <w:p>
      <w:pPr>
        <w:spacing w:beforeLines="100" w:line="300" w:lineRule="auto"/>
        <w:jc w:val="center"/>
        <w:rPr>
          <w:rFonts w:ascii="仿宋_GB2312" w:hAnsi="Times New Roman" w:eastAsia="仿宋_GB2312" w:cs="Times New Roman"/>
          <w:b/>
          <w:sz w:val="32"/>
          <w:szCs w:val="44"/>
        </w:rPr>
      </w:pPr>
      <w:r>
        <w:rPr>
          <w:rFonts w:hint="eastAsia" w:ascii="仿宋_GB2312" w:hAnsi="Times New Roman" w:eastAsia="仿宋_GB2312" w:cs="Times New Roman"/>
          <w:b/>
          <w:sz w:val="32"/>
          <w:szCs w:val="44"/>
        </w:rPr>
        <w:t>2</w:t>
      </w:r>
      <w:r>
        <w:rPr>
          <w:rFonts w:ascii="仿宋_GB2312" w:hAnsi="Times New Roman" w:eastAsia="仿宋_GB2312" w:cs="Times New Roman"/>
          <w:b/>
          <w:sz w:val="32"/>
          <w:szCs w:val="44"/>
        </w:rPr>
        <w:t>013</w:t>
      </w:r>
      <w:r>
        <w:rPr>
          <w:rFonts w:hint="eastAsia" w:ascii="仿宋_GB2312" w:hAnsi="Times New Roman" w:eastAsia="仿宋_GB2312" w:cs="Times New Roman"/>
          <w:b/>
          <w:sz w:val="32"/>
          <w:szCs w:val="44"/>
        </w:rPr>
        <w:t>年12月</w:t>
      </w:r>
    </w:p>
    <w:p>
      <w:pPr>
        <w:jc w:val="center"/>
        <w:rPr>
          <w:b/>
          <w:sz w:val="32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方案变更记录</w:t>
      </w:r>
    </w:p>
    <w:tbl>
      <w:tblPr>
        <w:tblW w:w="9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2826"/>
        <w:gridCol w:w="1214"/>
        <w:gridCol w:w="1327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版本号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变更说明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修改人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V1</w:t>
            </w:r>
            <w:r>
              <w:rPr>
                <w:rFonts w:hint="eastAsia"/>
                <w:szCs w:val="21"/>
              </w:rPr>
              <w:t>.0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讨论稿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刘志勇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2013-12-24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V1</w:t>
            </w:r>
            <w:r>
              <w:rPr>
                <w:rFonts w:hint="eastAsia"/>
                <w:szCs w:val="21"/>
              </w:rPr>
              <w:t>.1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会议讨论确定后调整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刘志勇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2013-12-30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V1</w:t>
            </w:r>
            <w:r>
              <w:rPr>
                <w:rFonts w:hint="eastAsia"/>
                <w:szCs w:val="21"/>
              </w:rPr>
              <w:t>.2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会议讨论确定后调整</w:t>
            </w:r>
            <w:r>
              <w:rPr>
                <w:rFonts w:hint="eastAsia"/>
                <w:szCs w:val="21"/>
              </w:rPr>
              <w:t>文档与厦门智业沟通后修改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刘志勇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-1-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pStyle w:val="5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血费报销</w:t>
      </w:r>
      <w:r>
        <w:rPr>
          <w:b/>
          <w:sz w:val="28"/>
        </w:rPr>
        <w:t>流程图</w:t>
      </w:r>
    </w:p>
    <w:p>
      <w:pPr>
        <w:pStyle w:val="5"/>
        <w:ind w:left="420" w:firstLine="0" w:firstLineChars="0"/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流程图: 过程 1" o:spid="_x0000_s1028" type="#_x0000_t109" style="position:absolute;left:0;margin-left:-44.25pt;margin-top:16.3pt;height:88.5pt;width:199.5pt;rotation:0f;z-index:251658240;" o:ole="f" fillcolor="#BBD5F0" filled="t" o:preferrelative="t" stroked="t" coordorigin="0,0" coordsize="21600,21600">
            <v:fill type="gradient" on="t" color2="#FFFFFF" o:opacity2="100%" colors="0f #BBD5F0;65536f #9CBEE0;" angle="180" focus="0%" focussize="0f,0f" focusposition="0f,0f" method="linear sigma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44"/>
                    </w:rPr>
                    <w:t>住院登记</w:t>
                  </w:r>
                </w:p>
                <w:p>
                  <w:pPr>
                    <w:rPr>
                      <w:rFonts w:ascii="仿宋_GB2312" w:hAnsi="仿宋_GB2312" w:eastAsia="仿宋_GB2312" w:cs="仿宋_GB2312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HIS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系统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登记本人身份证号码、是否献过血，亲属是否献过血，如有献血，应具有登记献血者信息、献血者与住院者关系。</w:t>
                  </w:r>
                </w:p>
              </w:txbxContent>
            </v:textbox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流程图: 过程 4" o:spid="_x0000_s1029" type="#_x0000_t109" style="position:absolute;left:0;margin-left:243pt;margin-top:0.7pt;height:87.75pt;width:195pt;rotation:0f;z-index:251660288;" o:ole="f" fillcolor="#BBD5F0" filled="t" o:preferrelative="t" stroked="t" coordorigin="0,0" coordsize="21600,21600">
            <v:fill type="gradient" on="t" color2="#FFFFFF" o:opacity2="100%" colors="0f #BBD5F0;65536f #9CBEE0;" angle="180" focus="0%" focussize="0f,0f" focusposition="0f,0f" method="linear sigma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44"/>
                    </w:rPr>
                    <w:t>用血申请、</w:t>
                  </w:r>
                  <w:r>
                    <w:rPr>
                      <w:b/>
                      <w:bCs/>
                      <w:sz w:val="32"/>
                      <w:szCs w:val="44"/>
                    </w:rPr>
                    <w:t>发血</w:t>
                  </w:r>
                </w:p>
                <w:p>
                  <w:pPr>
                    <w:rPr>
                      <w:rFonts w:ascii="仿宋_GB2312" w:hAnsi="仿宋_GB2312" w:eastAsia="仿宋_GB2312" w:cs="仿宋_GB2312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医院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输血管理系统，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在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医生工作站进行患者用血申请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；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输血科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进行患者复检、交叉配血后，使用临床用血进行发血。</w:t>
                  </w:r>
                </w:p>
              </w:txbxContent>
            </v:textbox>
          </v:shape>
        </w:pict>
      </w:r>
    </w:p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右箭头 5" o:spid="_x0000_s1030" type="#_x0000_t13" style="position:absolute;left:0;margin-left:156.75pt;margin-top:1.9pt;height:20.25pt;width:87pt;mso-position-horizontal-relative:margin;rotation:0f;z-index:251663360;" o:ole="f" fillcolor="#BBD5F0" filled="t" o:preferrelative="t" stroked="t" coordorigin="0,0" coordsize="21600,21600" adj="14525,5400">
            <v:fill type="gradient" on="t" color2="#FFFFFF" o:opacity2="100%" colors="0f #BBD5F0;65536f #9CBEE0;" angle="180" focus="0%" focussize="0f,0f" focusposition="0f,0f" method="linear sigma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流程图: 准备 2" o:spid="_x0000_s1031" type="#_x0000_t117" style="position:absolute;left:0;margin-left:107.9pt;margin-top:11.3pt;height:66pt;width:199.5pt;mso-position-horizontal-relative:margin;rotation:0f;z-index:251662336;" o:ole="f" fillcolor="#BBD5F0" filled="t" o:preferrelative="t" stroked="t" coordorigin="0,0" coordsize="21600,21600">
            <v:fill type="gradient" on="t" color2="#FFFFFF" o:opacity2="100%" colors="0f #BBD5F0;65536f #9CBEE0;" angle="180" focus="0%" focussize="0f,0f" focusposition="0f,0f" method="linear sigma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ascii="仿宋_GB2312" w:hAnsi="仿宋_GB2312" w:eastAsia="仿宋_GB2312" w:cs="仿宋_GB2312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36"/>
                      <w:szCs w:val="36"/>
                    </w:rPr>
                    <w:t>病人血费  直报流程图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下箭头 6" o:spid="_x0000_s1032" type="#_x0000_t67" style="position:absolute;left:0;margin-left:339.75pt;margin-top:8.2pt;height:69.75pt;width:24pt;rotation:0f;z-index:251664384;" o:ole="f" fillcolor="#BBD5F0" filled="t" o:preferrelative="t" stroked="t" coordorigin="0,0" coordsize="21600,21600" adj="15515,5400">
            <v:fill type="gradient" on="t" color2="#FFFFFF" o:opacity2="100%" colors="0f #BBD5F0;65536f #9CBEE0;" angle="180" focus="0%" focussize="0f,0f" focusposition="0f,0f" method="linear sigma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  <v:textbox style="layout-flow:vertical-ideographic;"/>
          </v:shape>
        </w:pict>
      </w:r>
    </w:p>
    <w:p/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流程图: 过程 8" o:spid="_x0000_s1033" type="#_x0000_t109" style="position:absolute;left:0;margin-left:-37.5pt;margin-top:16.3pt;height:200.25pt;width:196.5pt;rotation:0f;z-index:251661312;" o:ole="f" fillcolor="#BBD5F0" filled="t" o:preferrelative="t" stroked="t" coordorigin="0,0" coordsize="21600,21600">
            <v:fill type="gradient" on="t" color2="#FFFFFF" o:opacity2="100%" colors="0f #BBD5F0;65536f #9CBEE0;" angle="180" focus="0%" focussize="0f,0f" focusposition="0f,0f" method="linear sigma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44"/>
                    </w:rPr>
                    <w:t>出院结算</w:t>
                  </w:r>
                  <w:r>
                    <w:rPr>
                      <w:b/>
                      <w:bCs/>
                      <w:sz w:val="32"/>
                      <w:szCs w:val="44"/>
                    </w:rPr>
                    <w:t>-</w:t>
                  </w:r>
                  <w:r>
                    <w:rPr>
                      <w:rFonts w:hint="eastAsia"/>
                      <w:b/>
                      <w:bCs/>
                      <w:sz w:val="32"/>
                      <w:szCs w:val="44"/>
                    </w:rPr>
                    <w:t>血费报销</w:t>
                  </w:r>
                </w:p>
                <w:p>
                  <w:pPr>
                    <w:rPr>
                      <w:rFonts w:ascii="仿宋_GB2312" w:hAnsi="仿宋_GB2312" w:eastAsia="仿宋_GB2312" w:cs="仿宋_GB2312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患者出院收费处出院结算时，在提交医保、新农合结算前，向血费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报销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系统发送用血人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证件号码和住院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号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等信息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，血费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报销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系统返回可报销血费金额，医院HIS系统根据返回金额直接冲减患者自付费用，患者完成出院结算后，出院发票上打印血费直报金额，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并把报销成功的状态发送给血费报销系统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；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如果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取消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报销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，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把</w:t>
                  </w: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取消</w:t>
                  </w:r>
                  <w:r>
                    <w:rPr>
                      <w:rFonts w:ascii="仿宋_GB2312" w:hAnsi="仿宋_GB2312" w:eastAsia="仿宋_GB2312" w:cs="仿宋_GB2312"/>
                      <w:szCs w:val="24"/>
                    </w:rPr>
                    <w:t>报销的状态发送给血费报销系统。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流程图: 过程 3" o:spid="_x0000_s1034" type="#_x0000_t109" style="position:absolute;left:0;margin-left:240pt;margin-top:15.55pt;height:199.5pt;width:206.25pt;rotation:0f;z-index:251659264;" o:ole="f" fillcolor="#BBD5F0" filled="t" o:preferrelative="t" stroked="t" coordorigin="0,0" coordsize="21600,21600">
            <v:fill type="gradient" on="t" color2="#FFFFFF" o:opacity2="100%" colors="0f #BBD5F0;65536f #9CBEE0;" angle="180" focus="0%" focussize="0f,0f" focusposition="0f,0f" method="linear sigma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44"/>
                    </w:rPr>
                    <w:t>血费直报资格审查</w:t>
                  </w:r>
                </w:p>
                <w:p>
                  <w:pPr>
                    <w:rPr>
                      <w:rFonts w:ascii="仿宋_GB2312" w:hAnsi="仿宋_GB2312" w:eastAsia="仿宋_GB2312" w:cs="仿宋_GB2312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（医院收费处[输血科]查询献血者基本信息、献血者献血量、本人可报销血量、直系亲属可报销血量等，资格确认后，如果达到报销血费的条件，收费处[输血科]录入报销信息，将报销凭证用图像采集设备（例如：高拍仪）拍下来，通过软件压缩后，上传到电脑中）</w:t>
                  </w:r>
                </w:p>
                <w:p>
                  <w:pPr>
                    <w:rPr>
                      <w:rFonts w:ascii="仿宋_GB2312" w:hAnsi="仿宋_GB2312" w:eastAsia="仿宋_GB2312" w:cs="仿宋_GB2312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4"/>
                    </w:rPr>
                    <w:t>注： 当医院遇到需要档案合并、身份证和姓名不符、献血证丢失等情况，医院不予报销，让报销者直接去血站报销；</w:t>
                  </w:r>
                </w:p>
              </w:txbxContent>
            </v:textbox>
          </v:shape>
        </w:pict>
      </w:r>
    </w:p>
    <w:p/>
    <w:p/>
    <w:p/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左箭头 7" o:spid="_x0000_s1035" type="#_x0000_t66" style="position:absolute;left:0;margin-left:162.75pt;margin-top:13.45pt;height:23.25pt;width:75pt;rotation:0f;z-index:251666432;" o:ole="f" fillcolor="#BBD5F0" filled="t" o:preferrelative="t" stroked="t" coordorigin="0,0" coordsize="21600,21600" adj="8423,5400">
            <v:fill type="gradient" on="t" color2="#FFFFFF" o:opacity2="100%" colors="0f #BBD5F0;65536f #9CBEE0;" angle="180" focus="0%" focussize="0f,0f" focusposition="0f,0f" method="linear sigma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/>
    <w:p/>
    <w:p/>
    <w:p/>
    <w:p/>
    <w:p/>
    <w:p/>
    <w:p>
      <w:pPr>
        <w:pStyle w:val="5"/>
        <w:ind w:left="420" w:firstLine="0" w:firstLineChars="0"/>
      </w:pPr>
    </w:p>
    <w:p>
      <w:pPr>
        <w:pStyle w:val="5"/>
        <w:ind w:left="420" w:firstLine="0" w:firstLineChars="0"/>
        <w:rPr>
          <w:rFonts w:hint="eastAsia"/>
        </w:rPr>
      </w:pPr>
    </w:p>
    <w:p>
      <w:pPr>
        <w:pStyle w:val="5"/>
        <w:numPr>
          <w:ilvl w:val="0"/>
          <w:numId w:val="1"/>
        </w:numPr>
        <w:ind w:firstLineChars="0"/>
        <w:rPr>
          <w:b/>
          <w:sz w:val="28"/>
        </w:rPr>
      </w:pPr>
      <w:r>
        <w:rPr>
          <w:b/>
          <w:sz w:val="28"/>
        </w:rPr>
        <w:t>血费报销</w:t>
      </w:r>
      <w:r>
        <w:rPr>
          <w:rFonts w:hint="eastAsia"/>
          <w:b/>
          <w:sz w:val="28"/>
        </w:rPr>
        <w:t>流程描述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 w:cs="仿宋_GB2312"/>
          <w:szCs w:val="21"/>
        </w:rPr>
      </w:pPr>
      <w:r>
        <w:rPr>
          <w:rFonts w:hint="eastAsia" w:ascii="宋体" w:hAnsi="宋体"/>
          <w:b/>
          <w:szCs w:val="21"/>
        </w:rPr>
        <w:t>HIS系统</w:t>
      </w:r>
      <w:r>
        <w:rPr>
          <w:rFonts w:hint="eastAsia" w:ascii="宋体" w:hAnsi="宋体"/>
          <w:szCs w:val="21"/>
        </w:rPr>
        <w:t>：【住院处】‘</w:t>
      </w:r>
      <w:r>
        <w:rPr>
          <w:rFonts w:hint="eastAsia" w:ascii="宋体" w:hAnsi="宋体" w:cs="仿宋_GB2312"/>
          <w:szCs w:val="21"/>
        </w:rPr>
        <w:t>住院登记’</w:t>
      </w:r>
    </w:p>
    <w:p>
      <w:pPr>
        <w:spacing w:line="360" w:lineRule="auto"/>
        <w:ind w:left="420"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登记献血者、用血者的信息，信息包括下面内容：</w:t>
      </w:r>
    </w:p>
    <w:p>
      <w:pPr>
        <w:spacing w:line="360" w:lineRule="auto"/>
        <w:ind w:firstLine="840" w:firstLineChars="4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登记本人身份证号码、是否献过血，亲属是否献过血，如有献血，应具有登记献血者信息、献血者与住院者关系、是否进行用血报销等信息。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HIS系统/电子病历系统</w:t>
      </w:r>
      <w:r>
        <w:rPr>
          <w:rFonts w:hint="eastAsia" w:ascii="宋体" w:hAnsi="宋体"/>
          <w:szCs w:val="21"/>
        </w:rPr>
        <w:t>：【各科室工作站】 ‘</w:t>
      </w:r>
      <w:r>
        <w:rPr>
          <w:rFonts w:hint="eastAsia" w:ascii="宋体" w:hAnsi="宋体" w:cs="仿宋_GB2312"/>
          <w:szCs w:val="21"/>
        </w:rPr>
        <w:t>用血申请’登记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各临床科室的工作站，在HIS系统或电子病历系统中，调用医院输血管理系统的‘用血申请’填写患者的临床用血申请信息，并发送给输血科。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根据各医院情况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打印临床</w:t>
      </w:r>
      <w:r>
        <w:rPr>
          <w:rFonts w:hint="eastAsia" w:ascii="宋体" w:hAnsi="宋体"/>
          <w:szCs w:val="21"/>
        </w:rPr>
        <w:t>‘</w:t>
      </w:r>
      <w:r>
        <w:rPr>
          <w:rFonts w:ascii="宋体" w:hAnsi="宋体"/>
          <w:szCs w:val="21"/>
        </w:rPr>
        <w:t>用血申请单</w:t>
      </w:r>
      <w:r>
        <w:rPr>
          <w:rFonts w:hint="eastAsia" w:ascii="宋体" w:hAnsi="宋体"/>
          <w:szCs w:val="21"/>
        </w:rPr>
        <w:t>’，</w:t>
      </w:r>
      <w:r>
        <w:rPr>
          <w:rFonts w:ascii="宋体" w:hAnsi="宋体"/>
          <w:szCs w:val="21"/>
        </w:rPr>
        <w:t>并提交给医院输血科</w:t>
      </w:r>
      <w:r>
        <w:rPr>
          <w:rFonts w:hint="eastAsia" w:ascii="宋体" w:hAnsi="宋体"/>
          <w:szCs w:val="21"/>
        </w:rPr>
        <w:t>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医院输血管理系统</w:t>
      </w:r>
      <w:r>
        <w:rPr>
          <w:rFonts w:hint="eastAsia" w:ascii="宋体" w:hAnsi="宋体"/>
          <w:szCs w:val="21"/>
        </w:rPr>
        <w:t>：【输血科】‘临床用血’</w:t>
      </w:r>
    </w:p>
    <w:p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输血科根据医生工作站提交的用血申请</w:t>
      </w:r>
      <w:r>
        <w:rPr>
          <w:rFonts w:hint="eastAsia" w:ascii="宋体" w:hAnsi="宋体"/>
          <w:szCs w:val="21"/>
        </w:rPr>
        <w:t>，与电脑中的‘用血申请’进行确认，没有问题后进行患者复检、交叉配血后，使用临床用血进行发血；</w:t>
      </w:r>
    </w:p>
    <w:p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‘临床用血’发血完成后，调用HIS的web服务，把患者的费用信息发送给HIS系统，详见‘福建莆田医院HIS收费接口文档.doc’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 w:cs="仿宋_GB2312"/>
          <w:b/>
          <w:szCs w:val="21"/>
        </w:rPr>
        <w:t>医院血费报销系统</w:t>
      </w:r>
      <w:r>
        <w:rPr>
          <w:rFonts w:hint="eastAsia" w:ascii="宋体" w:hAnsi="宋体"/>
          <w:szCs w:val="21"/>
        </w:rPr>
        <w:t>：【住院处/输血科】‘</w:t>
      </w:r>
      <w:r>
        <w:rPr>
          <w:rFonts w:hint="eastAsia" w:ascii="宋体" w:hAnsi="宋体" w:cs="仿宋_GB2312"/>
          <w:szCs w:val="21"/>
        </w:rPr>
        <w:t>返还登记’</w:t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用血者携带有效证件与报销凭证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提交给</w:t>
      </w:r>
      <w:r>
        <w:rPr>
          <w:rFonts w:hint="eastAsia" w:ascii="宋体" w:hAnsi="宋体"/>
          <w:szCs w:val="21"/>
        </w:rPr>
        <w:t>‘住院处/输血科’。</w:t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在‘返还登记’中，登记用血者的信息，利用病案号和时间段查询并提取‘</w:t>
      </w:r>
      <w:r>
        <w:rPr>
          <w:rFonts w:ascii="宋体" w:hAnsi="宋体"/>
          <w:szCs w:val="21"/>
        </w:rPr>
        <w:t>医院输血管理系统</w:t>
      </w:r>
      <w:r>
        <w:rPr>
          <w:rFonts w:hint="eastAsia" w:ascii="宋体" w:hAnsi="宋体"/>
          <w:szCs w:val="21"/>
        </w:rPr>
        <w:t>’中的用血信息，并查询献血者的献血信息，进行资格审查。</w:t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 w:cs="仿宋_GB2312"/>
          <w:szCs w:val="21"/>
        </w:rPr>
        <w:t>如果达到报销血费的条件，录入报销信息，将报销凭证用图像采集设备（例如：高拍仪）拍下来，通过软件压缩后，上传到电脑中。</w:t>
      </w:r>
    </w:p>
    <w:p>
      <w:pPr>
        <w:pStyle w:val="5"/>
        <w:numPr>
          <w:ilvl w:val="0"/>
          <w:numId w:val="5"/>
        </w:numPr>
        <w:spacing w:line="360" w:lineRule="auto"/>
        <w:ind w:firstLineChars="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注： 当医院遇到需要档案合并、身份证和姓名不符、献血证丢失等情况，医院不予报销，让报销者直接去血站报销；</w:t>
      </w:r>
      <w:r>
        <w:rPr>
          <w:rFonts w:ascii="宋体" w:hAnsi="宋体" w:cs="仿宋_GB2312"/>
          <w:szCs w:val="21"/>
        </w:rPr>
        <w:t xml:space="preserve"> 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HIS系统</w:t>
      </w:r>
      <w:r>
        <w:rPr>
          <w:rFonts w:hint="eastAsia" w:ascii="宋体" w:hAnsi="宋体"/>
          <w:szCs w:val="21"/>
        </w:rPr>
        <w:t>：【收费处】收费确认</w:t>
      </w:r>
    </w:p>
    <w:p>
      <w:pPr>
        <w:pStyle w:val="5"/>
        <w:numPr>
          <w:ilvl w:val="0"/>
          <w:numId w:val="6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 w:cs="仿宋_GB2312"/>
          <w:szCs w:val="21"/>
        </w:rPr>
        <w:t>HIS系统：根据用血者的身份证号和住院号，调用‘医院血费报销系统’的web接口，获得可报销金额等信息，</w:t>
      </w:r>
      <w:r>
        <w:rPr>
          <w:rFonts w:hint="eastAsia" w:ascii="宋体" w:hAnsi="宋体" w:cs="仿宋_GB2312"/>
          <w:color w:val="FF0000"/>
          <w:szCs w:val="21"/>
        </w:rPr>
        <w:t>也根据‘结算状态’可以灵活的确定本次调用是查询不结算（结算成功后调用‘结算信息上传’反馈结算状态），还是查询并完成结算。</w:t>
      </w:r>
    </w:p>
    <w:p>
      <w:pPr>
        <w:pStyle w:val="5"/>
        <w:numPr>
          <w:ilvl w:val="0"/>
          <w:numId w:val="6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 w:cs="仿宋_GB2312"/>
          <w:szCs w:val="21"/>
        </w:rPr>
        <w:t>HIS系统：根据返还金额直接冲减患者自付费用，患者完成出院结算后，出院发票上打印血费直报金额，并把‘结算成功’的完成状态通过web接口，反馈‘医院血费报销系统’，</w:t>
      </w:r>
      <w:r>
        <w:rPr>
          <w:rFonts w:hint="eastAsia" w:ascii="宋体" w:hAnsi="宋体" w:cs="仿宋_GB2312"/>
          <w:color w:val="FF0000"/>
          <w:szCs w:val="21"/>
        </w:rPr>
        <w:t>也可以在1）中查询时调用web接口自动完成结算</w:t>
      </w:r>
      <w:r>
        <w:rPr>
          <w:rFonts w:hint="eastAsia" w:ascii="宋体" w:hAnsi="宋体" w:cs="仿宋_GB2312"/>
          <w:szCs w:val="21"/>
        </w:rPr>
        <w:t>。</w:t>
      </w:r>
    </w:p>
    <w:p>
      <w:pPr>
        <w:pStyle w:val="5"/>
        <w:numPr>
          <w:ilvl w:val="0"/>
          <w:numId w:val="6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cs="仿宋_GB2312"/>
          <w:szCs w:val="21"/>
        </w:rPr>
        <w:t>HIS系统</w:t>
      </w:r>
      <w:r>
        <w:rPr>
          <w:rFonts w:hint="eastAsia" w:ascii="宋体" w:hAnsi="宋体" w:cs="仿宋_GB2312"/>
          <w:szCs w:val="21"/>
        </w:rPr>
        <w:t>：</w:t>
      </w:r>
      <w:r>
        <w:rPr>
          <w:rFonts w:ascii="宋体" w:hAnsi="宋体" w:cs="仿宋_GB2312"/>
          <w:szCs w:val="21"/>
        </w:rPr>
        <w:t>如果工作人员报销错误</w:t>
      </w:r>
      <w:r>
        <w:rPr>
          <w:rFonts w:hint="eastAsia" w:ascii="宋体" w:hAnsi="宋体" w:cs="仿宋_GB2312"/>
          <w:szCs w:val="21"/>
        </w:rPr>
        <w:t>或需要进行冲销，</w:t>
      </w:r>
      <w:r>
        <w:rPr>
          <w:rFonts w:ascii="宋体" w:hAnsi="宋体" w:cs="仿宋_GB2312"/>
          <w:szCs w:val="21"/>
        </w:rPr>
        <w:t>可以把</w:t>
      </w:r>
      <w:r>
        <w:rPr>
          <w:rFonts w:hint="eastAsia" w:ascii="宋体" w:hAnsi="宋体" w:cs="仿宋_GB2312"/>
          <w:szCs w:val="21"/>
        </w:rPr>
        <w:t>‘</w:t>
      </w:r>
      <w:r>
        <w:rPr>
          <w:rFonts w:ascii="宋体" w:hAnsi="宋体" w:cs="仿宋_GB2312"/>
          <w:szCs w:val="21"/>
        </w:rPr>
        <w:t>取消结算</w:t>
      </w:r>
      <w:r>
        <w:rPr>
          <w:rFonts w:hint="eastAsia" w:ascii="宋体" w:hAnsi="宋体" w:cs="仿宋_GB2312"/>
          <w:szCs w:val="21"/>
        </w:rPr>
        <w:t>’的状态通</w:t>
      </w:r>
      <w:bookmarkStart w:id="2" w:name="_GoBack"/>
      <w:bookmarkEnd w:id="2"/>
      <w:r>
        <w:rPr>
          <w:rFonts w:hint="eastAsia" w:ascii="宋体" w:hAnsi="宋体" w:cs="仿宋_GB2312"/>
          <w:szCs w:val="21"/>
        </w:rPr>
        <w:t>过web接口，反馈‘医院血费报销系统’。</w:t>
      </w:r>
    </w:p>
    <w:p>
      <w:pPr>
        <w:pStyle w:val="5"/>
        <w:numPr>
          <w:ilvl w:val="0"/>
          <w:numId w:val="6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 w:cs="仿宋_GB2312"/>
          <w:szCs w:val="21"/>
        </w:rPr>
        <w:t>医院血费报销系统</w:t>
      </w:r>
      <w:r>
        <w:rPr>
          <w:rFonts w:hint="eastAsia" w:ascii="宋体" w:hAnsi="宋体"/>
          <w:szCs w:val="21"/>
        </w:rPr>
        <w:t>：增加web接口，在HIS系统收费确认时，可以反馈HIS可报销金额，见‘福建莆田医院血费异地报销接口文档.doc’中‘3.2.1返还信息查询’</w:t>
      </w:r>
    </w:p>
    <w:p>
      <w:pPr>
        <w:pStyle w:val="5"/>
        <w:numPr>
          <w:ilvl w:val="0"/>
          <w:numId w:val="6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 w:cs="仿宋_GB2312"/>
          <w:szCs w:val="21"/>
        </w:rPr>
        <w:t>医院血费报销系统</w:t>
      </w:r>
      <w:r>
        <w:rPr>
          <w:rFonts w:hint="eastAsia" w:ascii="宋体" w:hAnsi="宋体"/>
          <w:szCs w:val="21"/>
        </w:rPr>
        <w:t>：增加web接口，可以接收HIS的‘结算成功’和‘取消结算’的状态，见‘福建莆田医院血费异地报销接口文档.doc’中‘3.2.2结算信息</w:t>
      </w:r>
      <w:r>
        <w:rPr>
          <w:rFonts w:ascii="宋体" w:hAnsi="宋体"/>
          <w:szCs w:val="21"/>
        </w:rPr>
        <w:t>上传</w:t>
      </w:r>
      <w:r>
        <w:rPr>
          <w:rFonts w:hint="eastAsia" w:ascii="宋体" w:hAnsi="宋体"/>
          <w:szCs w:val="21"/>
        </w:rPr>
        <w:t>’。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</w:pPr>
      <w:r>
        <w:rPr>
          <w:b/>
        </w:rPr>
        <w:t>每月结算</w:t>
      </w:r>
      <w:r>
        <w:rPr>
          <w:rFonts w:hint="eastAsia"/>
        </w:rPr>
        <w:t>：</w:t>
      </w:r>
    </w:p>
    <w:p>
      <w:pPr>
        <w:ind w:left="420" w:firstLine="420" w:firstLineChars="200"/>
      </w:pPr>
      <w:r>
        <w:rPr>
          <w:rFonts w:hint="eastAsia"/>
        </w:rPr>
        <w:t>由HIS系统或医院血费报销系统打印用血费用明细。</w:t>
      </w:r>
      <w:r>
        <w:rPr>
          <w:rFonts w:hint="eastAsia" w:ascii="Calibri" w:hAnsi="Calibri" w:eastAsia="宋体"/>
          <w:kern w:val="2"/>
          <w:sz w:val="21"/>
          <w:szCs w:val="22"/>
          <w:lang w:val="en-US" w:eastAsia="zh-CN" w:bidi="ar-SA"/>
        </w:rPr>
        <w:pict>
          <v:shape id="左箭头 10" o:spid="_x0000_s1036" type="#_x0000_t66" style="position:absolute;left:0;margin-left:335.85pt;margin-top:545.45pt;height:23.25pt;width:117pt;rotation:0f;z-index:251665408;" o:ole="f" fillcolor="#BBD5F0" filled="t" o:preferrelative="t" stroked="t" coordorigin="0,0" coordsize="21600,21600" adj="5399,5400">
            <v:fill type="gradient" on="t" color2="#FFFFFF" o:opacity2="100%" colors="0f #BBD5F0;65536f #9CBEE0;" angle="180" focus="0%" focussize="0f,0f" focusposition="0f,0f" method="linear sigma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pStyle w:val="5"/>
        <w:numPr>
          <w:ilvl w:val="0"/>
          <w:numId w:val="1"/>
        </w:numPr>
        <w:spacing w:line="360" w:lineRule="auto"/>
        <w:ind w:left="562" w:hanging="562" w:hangingChars="200"/>
        <w:rPr>
          <w:b/>
          <w:sz w:val="28"/>
        </w:rPr>
      </w:pPr>
      <w:r>
        <w:rPr>
          <w:b/>
          <w:sz w:val="28"/>
        </w:rPr>
        <w:t>报销接口设计</w:t>
      </w:r>
    </w:p>
    <w:p>
      <w:r>
        <w:t>详见</w:t>
      </w:r>
      <w:r>
        <w:rPr>
          <w:rFonts w:hint="eastAsia"/>
        </w:rPr>
        <w:t>‘</w:t>
      </w:r>
      <w:r>
        <w:rPr>
          <w:rFonts w:hint="eastAsia" w:ascii="宋体" w:hAnsi="宋体"/>
          <w:szCs w:val="21"/>
        </w:rPr>
        <w:t>福建莆田医院血费报销接口文档.doc’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left"/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图片框 1025" o:spid="_x0000_s1025" type="#_x0000_t75" style="height:30.15pt;width:74.7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hint="eastAsia"/>
      </w:rPr>
      <w:t>唐山启奥科技有限公司                       医院报销血费管理系统流程调整方案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04534978">
    <w:nsid w:val="35EA1BC2"/>
    <w:multiLevelType w:val="multilevel"/>
    <w:tmpl w:val="35EA1BC2"/>
    <w:lvl w:ilvl="0" w:tentative="1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37015192">
    <w:nsid w:val="49BB5A98"/>
    <w:multiLevelType w:val="multilevel"/>
    <w:tmpl w:val="49BB5A98"/>
    <w:lvl w:ilvl="0" w:tentative="1">
      <w:start w:val="1"/>
      <w:numFmt w:val="decimal"/>
      <w:lvlText w:val="%1)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42473081">
    <w:nsid w:val="5BF04579"/>
    <w:multiLevelType w:val="multilevel"/>
    <w:tmpl w:val="5BF04579"/>
    <w:lvl w:ilvl="0" w:tentative="1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81719377">
    <w:nsid w:val="5E471F51"/>
    <w:multiLevelType w:val="multilevel"/>
    <w:tmpl w:val="5E471F51"/>
    <w:lvl w:ilvl="0" w:tentative="1">
      <w:start w:val="1"/>
      <w:numFmt w:val="decimal"/>
      <w:lvlText w:val="%1)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07021836">
    <w:nsid w:val="65BF160C"/>
    <w:multiLevelType w:val="multilevel"/>
    <w:tmpl w:val="65BF160C"/>
    <w:lvl w:ilvl="0" w:tentative="1">
      <w:start w:val="1"/>
      <w:numFmt w:val="decimal"/>
      <w:lvlText w:val="%1)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81408881">
    <w:nsid w:val="6A2E2471"/>
    <w:multiLevelType w:val="multilevel"/>
    <w:tmpl w:val="6A2E2471"/>
    <w:lvl w:ilvl="0" w:tentative="1">
      <w:start w:val="1"/>
      <w:numFmt w:val="decimal"/>
      <w:lvlText w:val="%1)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904534978"/>
  </w:num>
  <w:num w:numId="2">
    <w:abstractNumId w:val="1542473081"/>
  </w:num>
  <w:num w:numId="3">
    <w:abstractNumId w:val="1707021836"/>
  </w:num>
  <w:num w:numId="4">
    <w:abstractNumId w:val="1581719377"/>
  </w:num>
  <w:num w:numId="5">
    <w:abstractNumId w:val="1781408881"/>
  </w:num>
  <w:num w:numId="6">
    <w:abstractNumId w:val="12370151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png"/><Relationship Id="rId8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5</Pages>
  <Words>215</Words>
  <Characters>1228</Characters>
  <Lines>10</Lines>
  <Paragraphs>2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2013-12-24T08:27:00Z</dcterms:created>
  <dc:creator>loveplay CN</dc:creator>
  <cp:lastModifiedBy>Administrator</cp:lastModifiedBy>
  <dcterms:modified xsi:type="dcterms:W3CDTF">2014-01-08T16:10:19Z</dcterms:modified>
  <dc:title>莆田市医院血费报销管理系统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