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color w:val="5B9BD5" w:themeColor="accent1"/>
          <w14:textFill>
            <w14:solidFill>
              <w14:schemeClr w14:val="accent1"/>
            </w14:solidFill>
          </w14:textFill>
        </w:rPr>
        <w:id w:val="-52465529"/>
        <w:docPartObj>
          <w:docPartGallery w:val="autotext"/>
        </w:docPartObj>
      </w:sdtPr>
      <w:sdtEndPr>
        <w:rPr>
          <w:color w:val="auto"/>
        </w:rPr>
      </w:sdtEndPr>
      <w:sdtContent>
        <w:p>
          <w:pPr>
            <w:pStyle w:val="85"/>
            <w:jc w:val="center"/>
            <w:rPr>
              <w:color w:val="5B9BD5" w:themeColor="accent1"/>
              <w14:textFill>
                <w14:solidFill>
                  <w14:schemeClr w14:val="accent1"/>
                </w14:solidFill>
              </w14:textFill>
            </w:rPr>
          </w:pPr>
          <w:r>
            <w:rPr>
              <w:rFonts w:hint="eastAsia"/>
              <w:color w:val="5B9BD5" w:themeColor="accent1"/>
              <w:sz w:val="28"/>
              <w:szCs w:val="28"/>
              <w14:textFill>
                <w14:solidFill>
                  <w14:schemeClr w14:val="accent1"/>
                </w14:solidFill>
              </w14:textFill>
            </w:rPr>
            <w:drawing>
              <wp:anchor distT="0" distB="0" distL="114300" distR="114300" simplePos="0" relativeHeight="251671552" behindDoc="1" locked="0" layoutInCell="1" allowOverlap="1">
                <wp:simplePos x="0" y="0"/>
                <wp:positionH relativeFrom="column">
                  <wp:posOffset>-1104900</wp:posOffset>
                </wp:positionH>
                <wp:positionV relativeFrom="paragraph">
                  <wp:posOffset>-901700</wp:posOffset>
                </wp:positionV>
                <wp:extent cx="7467600" cy="11506200"/>
                <wp:effectExtent l="0" t="0" r="0" b="0"/>
                <wp:wrapNone/>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467600" cy="11506200"/>
                        </a:xfrm>
                        <a:prstGeom prst="rect">
                          <a:avLst/>
                        </a:prstGeom>
                      </pic:spPr>
                    </pic:pic>
                  </a:graphicData>
                </a:graphic>
              </wp:anchor>
            </w:drawing>
          </w:r>
        </w:p>
        <w:p>
          <w:pPr>
            <w:pStyle w:val="85"/>
            <w:jc w:val="center"/>
            <w:rPr>
              <w:color w:val="5B9BD5" w:themeColor="accent1"/>
              <w14:textFill>
                <w14:solidFill>
                  <w14:schemeClr w14:val="accent1"/>
                </w14:solidFill>
              </w14:textFill>
            </w:rPr>
          </w:pPr>
        </w:p>
        <w:p>
          <w:pPr>
            <w:pStyle w:val="85"/>
            <w:jc w:val="center"/>
            <w:rPr>
              <w:color w:val="5B9BD5" w:themeColor="accent1"/>
              <w:sz w:val="28"/>
              <w:szCs w:val="28"/>
              <w14:textFill>
                <w14:solidFill>
                  <w14:schemeClr w14:val="accent1"/>
                </w14:solidFill>
              </w14:textFill>
            </w:rPr>
          </w:pPr>
        </w:p>
        <w:p>
          <w:pPr>
            <w:pStyle w:val="85"/>
            <w:jc w:val="center"/>
            <w:rPr>
              <w:color w:val="5B9BD5" w:themeColor="accent1"/>
              <w:sz w:val="28"/>
              <w:szCs w:val="28"/>
              <w14:textFill>
                <w14:solidFill>
                  <w14:schemeClr w14:val="accent1"/>
                </w14:solidFill>
              </w14:textFill>
            </w:rPr>
          </w:pPr>
        </w:p>
        <w:p>
          <w:pPr>
            <w:pStyle w:val="85"/>
            <w:jc w:val="center"/>
            <w:rPr>
              <w:color w:val="5B9BD5" w:themeColor="accent1"/>
              <w:sz w:val="28"/>
              <w:szCs w:val="28"/>
              <w14:textFill>
                <w14:solidFill>
                  <w14:schemeClr w14:val="accent1"/>
                </w14:solidFill>
              </w14:textFill>
            </w:rPr>
          </w:pPr>
        </w:p>
        <w:p>
          <w:pPr>
            <w:jc w:val="center"/>
            <w:rPr>
              <w:rFonts w:ascii="华文隶书" w:eastAsia="华文隶书"/>
              <w:sz w:val="52"/>
              <w:szCs w:val="48"/>
            </w:rPr>
          </w:pPr>
          <w:r>
            <w:rPr>
              <w:rFonts w:hint="eastAsia" w:ascii="华文隶书" w:eastAsia="华文隶书"/>
              <w:sz w:val="52"/>
              <w:szCs w:val="48"/>
            </w:rPr>
            <w:t>福建省老年医院</w:t>
          </w:r>
        </w:p>
        <w:p>
          <w:pPr>
            <w:jc w:val="center"/>
            <w:rPr>
              <w:rFonts w:ascii="华文隶书" w:eastAsia="华文隶书"/>
              <w:sz w:val="52"/>
              <w:szCs w:val="48"/>
            </w:rPr>
          </w:pPr>
          <w:r>
            <w:rPr>
              <w:rFonts w:hint="eastAsia" w:ascii="华文隶书" w:eastAsia="华文隶书"/>
              <w:sz w:val="52"/>
              <w:szCs w:val="48"/>
            </w:rPr>
            <w:t>电子病历4级应用水平建设方案</w:t>
          </w:r>
        </w:p>
        <w:p>
          <w:pPr>
            <w:pStyle w:val="85"/>
            <w:spacing w:before="480"/>
            <w:jc w:val="center"/>
            <w:rPr>
              <w:rFonts w:ascii="宋体" w:hAnsi="宋体" w:eastAsia="宋体"/>
              <w:b/>
              <w:sz w:val="44"/>
              <w:szCs w:val="44"/>
            </w:rPr>
          </w:pPr>
        </w:p>
        <w:p>
          <w:pPr>
            <w:pStyle w:val="85"/>
            <w:spacing w:before="480"/>
            <w:jc w:val="center"/>
            <w:rPr>
              <w:rFonts w:ascii="宋体" w:hAnsi="宋体" w:eastAsia="宋体"/>
              <w:b/>
              <w:sz w:val="44"/>
              <w:szCs w:val="44"/>
            </w:rPr>
          </w:pPr>
        </w:p>
        <w:p>
          <w:pPr>
            <w:pStyle w:val="85"/>
            <w:spacing w:before="480"/>
            <w:jc w:val="center"/>
            <w:rPr>
              <w:rFonts w:ascii="宋体" w:hAnsi="宋体" w:eastAsia="宋体"/>
              <w:b/>
              <w:sz w:val="44"/>
              <w:szCs w:val="44"/>
            </w:rPr>
          </w:pPr>
        </w:p>
        <w:p>
          <w:pPr>
            <w:pStyle w:val="85"/>
            <w:spacing w:before="480"/>
            <w:jc w:val="center"/>
            <w:rPr>
              <w:rFonts w:ascii="宋体" w:hAnsi="宋体" w:eastAsia="宋体"/>
              <w:b/>
              <w:sz w:val="44"/>
              <w:szCs w:val="44"/>
            </w:rPr>
          </w:pPr>
        </w:p>
        <w:p>
          <w:pPr>
            <w:jc w:val="center"/>
            <w:rPr>
              <w:rFonts w:ascii="华文行楷" w:eastAsia="华文行楷"/>
              <w:sz w:val="40"/>
              <w:szCs w:val="36"/>
            </w:rPr>
          </w:pPr>
          <w:r>
            <w:rPr>
              <w:rFonts w:hint="eastAsia" w:ascii="华文行楷" w:eastAsia="华文行楷"/>
              <w:sz w:val="40"/>
              <w:szCs w:val="36"/>
            </w:rPr>
            <w:t>福建易联众医疗信息系统有限公司</w:t>
          </w:r>
        </w:p>
        <w:p>
          <w:pPr>
            <w:jc w:val="center"/>
            <w:rPr>
              <w:rFonts w:ascii="华文行楷" w:eastAsia="华文行楷"/>
              <w:sz w:val="40"/>
              <w:szCs w:val="36"/>
            </w:rPr>
          </w:pPr>
          <w:r>
            <w:rPr>
              <w:rFonts w:hint="eastAsia" w:ascii="华文行楷" w:eastAsia="华文行楷"/>
              <w:sz w:val="40"/>
              <w:szCs w:val="36"/>
            </w:rPr>
            <w:t>20</w:t>
          </w:r>
          <w:r>
            <w:rPr>
              <w:rFonts w:ascii="华文行楷" w:eastAsia="华文行楷"/>
              <w:sz w:val="40"/>
              <w:szCs w:val="36"/>
            </w:rPr>
            <w:t>20</w:t>
          </w:r>
          <w:r>
            <w:rPr>
              <w:rFonts w:hint="eastAsia" w:ascii="华文行楷" w:eastAsia="华文行楷"/>
              <w:sz w:val="40"/>
              <w:szCs w:val="36"/>
            </w:rPr>
            <w:t>年</w:t>
          </w:r>
          <w:r>
            <w:rPr>
              <w:rFonts w:ascii="华文行楷" w:eastAsia="华文行楷"/>
              <w:sz w:val="40"/>
              <w:szCs w:val="36"/>
            </w:rPr>
            <w:t>03</w:t>
          </w:r>
          <w:r>
            <w:rPr>
              <w:rFonts w:hint="eastAsia" w:ascii="华文行楷" w:eastAsia="华文行楷"/>
              <w:sz w:val="40"/>
              <w:szCs w:val="36"/>
            </w:rPr>
            <w:t>月</w:t>
          </w:r>
        </w:p>
        <w:p>
          <w:pPr>
            <w:pStyle w:val="85"/>
            <w:jc w:val="center"/>
          </w:pPr>
          <w:r>
            <w:br w:type="page"/>
          </w:r>
        </w:p>
      </w:sdtContent>
    </w:sdt>
    <w:p>
      <w:pPr>
        <w:jc w:val="center"/>
        <w:rPr>
          <w:rFonts w:ascii="宋体" w:hAnsi="宋体" w:eastAsia="宋体"/>
          <w:b/>
          <w:sz w:val="44"/>
          <w:szCs w:val="44"/>
        </w:rPr>
      </w:pPr>
      <w:r>
        <w:rPr>
          <w:rFonts w:hint="eastAsia" w:ascii="宋体" w:hAnsi="宋体" w:eastAsia="宋体"/>
          <w:b/>
          <w:sz w:val="44"/>
          <w:szCs w:val="44"/>
        </w:rPr>
        <w:t>目录</w:t>
      </w:r>
    </w:p>
    <w:sdt>
      <w:sdtPr>
        <w:rPr>
          <w:rFonts w:asciiTheme="minorHAnsi" w:hAnsiTheme="minorHAnsi" w:eastAsiaTheme="minorEastAsia" w:cstheme="minorBidi"/>
          <w:b w:val="0"/>
          <w:bCs w:val="0"/>
          <w:color w:val="auto"/>
          <w:kern w:val="2"/>
          <w:sz w:val="21"/>
          <w:szCs w:val="22"/>
          <w:lang w:val="zh-CN"/>
        </w:rPr>
        <w:id w:val="-955403793"/>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99"/>
            <w:ind w:left="359" w:firstLine="480"/>
            <w:rPr>
              <w:rFonts w:hint="eastAsia"/>
            </w:rPr>
          </w:pPr>
        </w:p>
        <w:p>
          <w:pPr>
            <w:pStyle w:val="30"/>
            <w:tabs>
              <w:tab w:val="right" w:leader="dot" w:pos="8306"/>
            </w:tabs>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rPr>
              <w:rFonts w:ascii="宋体" w:hAnsi="宋体" w:eastAsia="宋体"/>
              <w:szCs w:val="24"/>
            </w:rPr>
            <w:fldChar w:fldCharType="begin"/>
          </w:r>
          <w:r>
            <w:rPr>
              <w:rFonts w:ascii="宋体" w:hAnsi="宋体" w:eastAsia="宋体"/>
              <w:szCs w:val="24"/>
            </w:rPr>
            <w:instrText xml:space="preserve"> HYPERLINK \l _Toc19446 </w:instrText>
          </w:r>
          <w:r>
            <w:rPr>
              <w:rFonts w:ascii="宋体" w:hAnsi="宋体" w:eastAsia="宋体"/>
              <w:szCs w:val="24"/>
            </w:rPr>
            <w:fldChar w:fldCharType="separate"/>
          </w:r>
          <w:r>
            <w:rPr>
              <w:rFonts w:hint="eastAsia"/>
            </w:rPr>
            <w:t xml:space="preserve">第1章 </w:t>
          </w:r>
          <w:r>
            <w:t>项目背景</w:t>
          </w:r>
          <w:r>
            <w:tab/>
          </w:r>
          <w:r>
            <w:fldChar w:fldCharType="begin"/>
          </w:r>
          <w:r>
            <w:instrText xml:space="preserve"> PAGEREF _Toc19446 </w:instrText>
          </w:r>
          <w:r>
            <w:fldChar w:fldCharType="separate"/>
          </w:r>
          <w:r>
            <w:t>3</w:t>
          </w:r>
          <w:r>
            <w:fldChar w:fldCharType="end"/>
          </w:r>
          <w:r>
            <w:rPr>
              <w:rFonts w:ascii="宋体" w:hAnsi="宋体" w:eastAsia="宋体"/>
              <w:szCs w:val="24"/>
            </w:rPr>
            <w:fldChar w:fldCharType="end"/>
          </w:r>
        </w:p>
        <w:p>
          <w:pPr>
            <w:pStyle w:val="30"/>
            <w:tabs>
              <w:tab w:val="right" w:leader="dot" w:pos="8306"/>
            </w:tabs>
          </w:pPr>
          <w:r>
            <w:rPr>
              <w:rFonts w:ascii="宋体" w:hAnsi="宋体" w:eastAsia="宋体"/>
              <w:bCs/>
              <w:szCs w:val="24"/>
              <w:lang w:val="zh-CN"/>
            </w:rPr>
            <w:fldChar w:fldCharType="begin"/>
          </w:r>
          <w:r>
            <w:rPr>
              <w:rFonts w:ascii="宋体" w:hAnsi="宋体" w:eastAsia="宋体"/>
              <w:bCs/>
              <w:szCs w:val="24"/>
              <w:lang w:val="zh-CN"/>
            </w:rPr>
            <w:instrText xml:space="preserve"> HYPERLINK \l _Toc11527 </w:instrText>
          </w:r>
          <w:r>
            <w:rPr>
              <w:rFonts w:ascii="宋体" w:hAnsi="宋体" w:eastAsia="宋体"/>
              <w:bCs/>
              <w:szCs w:val="24"/>
              <w:lang w:val="zh-CN"/>
            </w:rPr>
            <w:fldChar w:fldCharType="separate"/>
          </w:r>
          <w:r>
            <w:rPr>
              <w:rFonts w:hint="eastAsia"/>
            </w:rPr>
            <w:t>第2章 建设目标</w:t>
          </w:r>
          <w:r>
            <w:tab/>
          </w:r>
          <w:r>
            <w:fldChar w:fldCharType="begin"/>
          </w:r>
          <w:r>
            <w:instrText xml:space="preserve"> PAGEREF _Toc11527 </w:instrText>
          </w:r>
          <w:r>
            <w:fldChar w:fldCharType="separate"/>
          </w:r>
          <w:r>
            <w:t>6</w:t>
          </w:r>
          <w:r>
            <w:fldChar w:fldCharType="end"/>
          </w:r>
          <w:r>
            <w:rPr>
              <w:rFonts w:ascii="宋体" w:hAnsi="宋体" w:eastAsia="宋体"/>
              <w:bCs/>
              <w:szCs w:val="24"/>
              <w:lang w:val="zh-CN"/>
            </w:rPr>
            <w:fldChar w:fldCharType="end"/>
          </w:r>
        </w:p>
        <w:p>
          <w:pPr>
            <w:pStyle w:val="30"/>
            <w:tabs>
              <w:tab w:val="right" w:leader="dot" w:pos="8306"/>
            </w:tabs>
          </w:pPr>
          <w:r>
            <w:rPr>
              <w:rFonts w:ascii="宋体" w:hAnsi="宋体" w:eastAsia="宋体"/>
              <w:bCs/>
              <w:szCs w:val="24"/>
              <w:lang w:val="zh-CN"/>
            </w:rPr>
            <w:fldChar w:fldCharType="begin"/>
          </w:r>
          <w:r>
            <w:rPr>
              <w:rFonts w:ascii="宋体" w:hAnsi="宋体" w:eastAsia="宋体"/>
              <w:bCs/>
              <w:szCs w:val="24"/>
              <w:lang w:val="zh-CN"/>
            </w:rPr>
            <w:instrText xml:space="preserve"> HYPERLINK \l _Toc20016 </w:instrText>
          </w:r>
          <w:r>
            <w:rPr>
              <w:rFonts w:ascii="宋体" w:hAnsi="宋体" w:eastAsia="宋体"/>
              <w:bCs/>
              <w:szCs w:val="24"/>
              <w:lang w:val="zh-CN"/>
            </w:rPr>
            <w:fldChar w:fldCharType="separate"/>
          </w:r>
          <w:r>
            <w:rPr>
              <w:rFonts w:hint="eastAsia"/>
            </w:rPr>
            <w:t>第3章 现状调研</w:t>
          </w:r>
          <w:r>
            <w:tab/>
          </w:r>
          <w:r>
            <w:fldChar w:fldCharType="begin"/>
          </w:r>
          <w:r>
            <w:instrText xml:space="preserve"> PAGEREF _Toc20016 </w:instrText>
          </w:r>
          <w:r>
            <w:fldChar w:fldCharType="separate"/>
          </w:r>
          <w:r>
            <w:t>6</w:t>
          </w:r>
          <w:r>
            <w:fldChar w:fldCharType="end"/>
          </w:r>
          <w:r>
            <w:rPr>
              <w:rFonts w:ascii="宋体" w:hAnsi="宋体" w:eastAsia="宋体"/>
              <w:bCs/>
              <w:szCs w:val="24"/>
              <w:lang w:val="zh-CN"/>
            </w:rPr>
            <w:fldChar w:fldCharType="end"/>
          </w:r>
        </w:p>
        <w:p>
          <w:pPr>
            <w:pStyle w:val="36"/>
            <w:tabs>
              <w:tab w:val="right" w:leader="dot" w:pos="8306"/>
            </w:tabs>
          </w:pPr>
          <w:r>
            <w:rPr>
              <w:rFonts w:ascii="宋体" w:hAnsi="宋体" w:eastAsia="宋体"/>
              <w:bCs/>
              <w:szCs w:val="24"/>
              <w:lang w:val="zh-CN"/>
            </w:rPr>
            <w:fldChar w:fldCharType="begin"/>
          </w:r>
          <w:r>
            <w:rPr>
              <w:rFonts w:ascii="宋体" w:hAnsi="宋体" w:eastAsia="宋体"/>
              <w:bCs/>
              <w:szCs w:val="24"/>
              <w:lang w:val="zh-CN"/>
            </w:rPr>
            <w:instrText xml:space="preserve"> HYPERLINK \l _Toc25554 </w:instrText>
          </w:r>
          <w:r>
            <w:rPr>
              <w:rFonts w:ascii="宋体" w:hAnsi="宋体" w:eastAsia="宋体"/>
              <w:bCs/>
              <w:szCs w:val="24"/>
              <w:lang w:val="zh-CN"/>
            </w:rPr>
            <w:fldChar w:fldCharType="separate"/>
          </w:r>
          <w:r>
            <w:rPr>
              <w:rFonts w:hint="eastAsia"/>
            </w:rPr>
            <w:t>3.1 分级评价管理办法</w:t>
          </w:r>
          <w:r>
            <w:tab/>
          </w:r>
          <w:r>
            <w:fldChar w:fldCharType="begin"/>
          </w:r>
          <w:r>
            <w:instrText xml:space="preserve"> PAGEREF _Toc25554 </w:instrText>
          </w:r>
          <w:r>
            <w:fldChar w:fldCharType="separate"/>
          </w:r>
          <w:r>
            <w:t>6</w:t>
          </w:r>
          <w:r>
            <w:fldChar w:fldCharType="end"/>
          </w:r>
          <w:r>
            <w:rPr>
              <w:rFonts w:ascii="宋体" w:hAnsi="宋体" w:eastAsia="宋体"/>
              <w:bCs/>
              <w:szCs w:val="24"/>
              <w:lang w:val="zh-CN"/>
            </w:rPr>
            <w:fldChar w:fldCharType="end"/>
          </w:r>
        </w:p>
        <w:p>
          <w:pPr>
            <w:pStyle w:val="36"/>
            <w:tabs>
              <w:tab w:val="right" w:leader="dot" w:pos="8306"/>
            </w:tabs>
          </w:pPr>
          <w:r>
            <w:rPr>
              <w:rFonts w:ascii="宋体" w:hAnsi="宋体" w:eastAsia="宋体"/>
              <w:bCs/>
              <w:szCs w:val="24"/>
              <w:lang w:val="zh-CN"/>
            </w:rPr>
            <w:fldChar w:fldCharType="begin"/>
          </w:r>
          <w:r>
            <w:rPr>
              <w:rFonts w:ascii="宋体" w:hAnsi="宋体" w:eastAsia="宋体"/>
              <w:bCs/>
              <w:szCs w:val="24"/>
              <w:lang w:val="zh-CN"/>
            </w:rPr>
            <w:instrText xml:space="preserve"> HYPERLINK \l _Toc9480 </w:instrText>
          </w:r>
          <w:r>
            <w:rPr>
              <w:rFonts w:ascii="宋体" w:hAnsi="宋体" w:eastAsia="宋体"/>
              <w:bCs/>
              <w:szCs w:val="24"/>
              <w:lang w:val="zh-CN"/>
            </w:rPr>
            <w:fldChar w:fldCharType="separate"/>
          </w:r>
          <w:r>
            <w:rPr>
              <w:rFonts w:hint="eastAsia"/>
            </w:rPr>
            <w:t>3.2 对标评估</w:t>
          </w:r>
          <w:r>
            <w:tab/>
          </w:r>
          <w:r>
            <w:fldChar w:fldCharType="begin"/>
          </w:r>
          <w:r>
            <w:instrText xml:space="preserve"> PAGEREF _Toc9480 </w:instrText>
          </w:r>
          <w:r>
            <w:fldChar w:fldCharType="separate"/>
          </w:r>
          <w:r>
            <w:t>9</w:t>
          </w:r>
          <w:r>
            <w:fldChar w:fldCharType="end"/>
          </w:r>
          <w:r>
            <w:rPr>
              <w:rFonts w:ascii="宋体" w:hAnsi="宋体" w:eastAsia="宋体"/>
              <w:bCs/>
              <w:szCs w:val="24"/>
              <w:lang w:val="zh-CN"/>
            </w:rPr>
            <w:fldChar w:fldCharType="end"/>
          </w:r>
        </w:p>
        <w:p>
          <w:pPr>
            <w:pStyle w:val="21"/>
            <w:tabs>
              <w:tab w:val="right" w:leader="dot" w:pos="8306"/>
            </w:tabs>
          </w:pPr>
          <w:r>
            <w:rPr>
              <w:rFonts w:ascii="宋体" w:hAnsi="宋体" w:eastAsia="宋体"/>
              <w:bCs/>
              <w:szCs w:val="24"/>
              <w:lang w:val="zh-CN"/>
            </w:rPr>
            <w:fldChar w:fldCharType="begin"/>
          </w:r>
          <w:r>
            <w:rPr>
              <w:rFonts w:ascii="宋体" w:hAnsi="宋体" w:eastAsia="宋体"/>
              <w:bCs/>
              <w:szCs w:val="24"/>
              <w:lang w:val="zh-CN"/>
            </w:rPr>
            <w:instrText xml:space="preserve"> HYPERLINK \l _Toc21192 </w:instrText>
          </w:r>
          <w:r>
            <w:rPr>
              <w:rFonts w:ascii="宋体" w:hAnsi="宋体" w:eastAsia="宋体"/>
              <w:bCs/>
              <w:szCs w:val="24"/>
              <w:lang w:val="zh-CN"/>
            </w:rPr>
            <w:fldChar w:fldCharType="separate"/>
          </w:r>
          <w:r>
            <w:rPr>
              <w:rFonts w:hint="eastAsia"/>
            </w:rPr>
            <w:t>3.2.1 现有系统对标评估</w:t>
          </w:r>
          <w:r>
            <w:tab/>
          </w:r>
          <w:r>
            <w:fldChar w:fldCharType="begin"/>
          </w:r>
          <w:r>
            <w:instrText xml:space="preserve"> PAGEREF _Toc21192 </w:instrText>
          </w:r>
          <w:r>
            <w:fldChar w:fldCharType="separate"/>
          </w:r>
          <w:r>
            <w:t>9</w:t>
          </w:r>
          <w:r>
            <w:fldChar w:fldCharType="end"/>
          </w:r>
          <w:r>
            <w:rPr>
              <w:rFonts w:ascii="宋体" w:hAnsi="宋体" w:eastAsia="宋体"/>
              <w:bCs/>
              <w:szCs w:val="24"/>
              <w:lang w:val="zh-CN"/>
            </w:rPr>
            <w:fldChar w:fldCharType="end"/>
          </w:r>
        </w:p>
        <w:p>
          <w:pPr>
            <w:spacing w:line="360" w:lineRule="auto"/>
          </w:pPr>
          <w:r>
            <w:rPr>
              <w:rFonts w:ascii="宋体" w:hAnsi="宋体" w:eastAsia="宋体"/>
              <w:bCs/>
              <w:szCs w:val="24"/>
              <w:lang w:val="zh-CN"/>
            </w:rPr>
            <w:fldChar w:fldCharType="end"/>
          </w:r>
        </w:p>
      </w:sdtContent>
    </w:sdt>
    <w:p>
      <w:pPr>
        <w:sectPr>
          <w:footerReference r:id="rId3" w:type="default"/>
          <w:pgSz w:w="11906" w:h="16838"/>
          <w:pgMar w:top="1440" w:right="1800" w:bottom="1440" w:left="1800" w:header="851" w:footer="992" w:gutter="0"/>
          <w:cols w:space="425" w:num="1"/>
          <w:docGrid w:type="lines" w:linePitch="312" w:charSpace="0"/>
        </w:sectPr>
      </w:pPr>
      <w:bookmarkStart w:id="0" w:name="_Toc34409936"/>
    </w:p>
    <w:p>
      <w:pPr>
        <w:pStyle w:val="2"/>
      </w:pPr>
      <w:bookmarkStart w:id="1" w:name="_Toc19446"/>
      <w:r>
        <w:t>项目背景</w:t>
      </w:r>
      <w:bookmarkEnd w:id="0"/>
      <w:bookmarkEnd w:id="1"/>
    </w:p>
    <w:p>
      <w:pPr>
        <w:spacing w:line="360" w:lineRule="auto"/>
        <w:ind w:firstLine="480" w:firstLineChars="200"/>
        <w:rPr>
          <w:rFonts w:ascii="宋体" w:hAnsi="宋体" w:eastAsia="宋体"/>
          <w:sz w:val="24"/>
          <w:szCs w:val="24"/>
        </w:rPr>
      </w:pPr>
      <w:r>
        <w:rPr>
          <w:rFonts w:ascii="宋体" w:hAnsi="宋体" w:eastAsia="宋体"/>
          <w:sz w:val="24"/>
          <w:szCs w:val="24"/>
        </w:rPr>
        <w:t>目前国内的</w:t>
      </w:r>
      <w:r>
        <w:rPr>
          <w:rFonts w:hint="eastAsia" w:ascii="宋体" w:hAnsi="宋体" w:eastAsia="宋体"/>
          <w:sz w:val="24"/>
          <w:szCs w:val="24"/>
        </w:rPr>
        <w:t>医院</w:t>
      </w:r>
      <w:r>
        <w:rPr>
          <w:rFonts w:ascii="宋体" w:hAnsi="宋体" w:eastAsia="宋体"/>
          <w:sz w:val="24"/>
          <w:szCs w:val="24"/>
        </w:rPr>
        <w:t>信息化正从</w:t>
      </w:r>
      <w:r>
        <w:rPr>
          <w:rFonts w:hint="eastAsia" w:ascii="宋体" w:hAnsi="宋体" w:eastAsia="宋体"/>
          <w:sz w:val="24"/>
          <w:szCs w:val="24"/>
        </w:rPr>
        <w:t>“以</w:t>
      </w:r>
      <w:r>
        <w:rPr>
          <w:rFonts w:ascii="宋体" w:hAnsi="宋体" w:eastAsia="宋体"/>
          <w:sz w:val="24"/>
          <w:szCs w:val="24"/>
        </w:rPr>
        <w:t>收费</w:t>
      </w:r>
      <w:r>
        <w:rPr>
          <w:rFonts w:hint="eastAsia" w:ascii="宋体" w:hAnsi="宋体" w:eastAsia="宋体"/>
          <w:sz w:val="24"/>
          <w:szCs w:val="24"/>
        </w:rPr>
        <w:t>为中心”转向“以病人为中心”，使系统建设有效为临床医疗质量建设和提升患者安全建设发挥作用</w:t>
      </w:r>
      <w:r>
        <w:rPr>
          <w:rFonts w:ascii="宋体" w:hAnsi="宋体" w:eastAsia="宋体"/>
          <w:sz w:val="24"/>
          <w:szCs w:val="24"/>
        </w:rPr>
        <w:t>，与之相对应的医疗信息系统也从传统的 HIS 系统向以电子</w:t>
      </w:r>
      <w:r>
        <w:rPr>
          <w:rFonts w:hint="eastAsia" w:ascii="宋体" w:hAnsi="宋体" w:eastAsia="宋体"/>
          <w:sz w:val="24"/>
          <w:szCs w:val="24"/>
        </w:rPr>
        <w:t>病历为核心的</w:t>
      </w:r>
      <w:r>
        <w:rPr>
          <w:rFonts w:ascii="宋体" w:hAnsi="宋体" w:eastAsia="宋体"/>
          <w:sz w:val="24"/>
          <w:szCs w:val="24"/>
        </w:rPr>
        <w:t xml:space="preserve"> CIS 系统过渡</w:t>
      </w:r>
      <w:r>
        <w:rPr>
          <w:rFonts w:hint="eastAsia" w:ascii="宋体" w:hAnsi="宋体" w:eastAsia="宋体"/>
          <w:sz w:val="24"/>
          <w:szCs w:val="24"/>
        </w:rPr>
        <w:t>，如何构建一个能够整合和联通区域内所有电子病历系统以及辅助医疗系统的信息平台，以及如何管理和规范平台内的医疗信息的使用，既能为医疗、科研和教学提供结构化数据支撑，同时保障患者隐私，并且使信息化建设具有法律依据将是当下医院信息化发展的关键点</w:t>
      </w:r>
      <w:r>
        <w:rPr>
          <w:rFonts w:ascii="宋体" w:hAnsi="宋体" w:eastAsia="宋体"/>
          <w:sz w:val="24"/>
          <w:szCs w:val="24"/>
        </w:rPr>
        <w:t>。</w:t>
      </w:r>
    </w:p>
    <w:p>
      <w:pPr>
        <w:pStyle w:val="59"/>
        <w:numPr>
          <w:ilvl w:val="0"/>
          <w:numId w:val="13"/>
        </w:numPr>
        <w:spacing w:line="360" w:lineRule="auto"/>
        <w:ind w:firstLineChars="0"/>
        <w:rPr>
          <w:rFonts w:ascii="宋体" w:hAnsi="宋体" w:eastAsia="宋体"/>
          <w:b/>
          <w:sz w:val="24"/>
          <w:szCs w:val="24"/>
        </w:rPr>
      </w:pPr>
      <w:r>
        <w:rPr>
          <w:rFonts w:ascii="宋体" w:hAnsi="宋体" w:eastAsia="宋体"/>
          <w:b/>
          <w:sz w:val="24"/>
          <w:szCs w:val="24"/>
        </w:rPr>
        <w:t>国家</w:t>
      </w:r>
      <w:r>
        <w:rPr>
          <w:rFonts w:hint="eastAsia" w:ascii="宋体" w:hAnsi="宋体" w:eastAsia="宋体"/>
          <w:b/>
          <w:sz w:val="24"/>
          <w:szCs w:val="24"/>
        </w:rPr>
        <w:t>正</w:t>
      </w:r>
      <w:r>
        <w:rPr>
          <w:rFonts w:ascii="宋体" w:hAnsi="宋体" w:eastAsia="宋体"/>
          <w:b/>
          <w:sz w:val="24"/>
          <w:szCs w:val="24"/>
        </w:rPr>
        <w:t>持续</w:t>
      </w:r>
      <w:r>
        <w:rPr>
          <w:rFonts w:hint="eastAsia" w:ascii="宋体" w:hAnsi="宋体" w:eastAsia="宋体"/>
          <w:b/>
          <w:sz w:val="24"/>
          <w:szCs w:val="24"/>
        </w:rPr>
        <w:t>大力</w:t>
      </w:r>
      <w:r>
        <w:rPr>
          <w:rFonts w:ascii="宋体" w:hAnsi="宋体" w:eastAsia="宋体"/>
          <w:b/>
          <w:sz w:val="24"/>
          <w:szCs w:val="24"/>
        </w:rPr>
        <w:t>推动以电子病历为核心的医疗机构信息化建设</w:t>
      </w:r>
    </w:p>
    <w:p>
      <w:pPr>
        <w:spacing w:line="360" w:lineRule="auto"/>
        <w:ind w:firstLine="480" w:firstLineChars="200"/>
        <w:rPr>
          <w:rFonts w:ascii="宋体" w:hAnsi="宋体" w:eastAsia="宋体"/>
          <w:color w:val="FF0000"/>
          <w:sz w:val="24"/>
          <w:szCs w:val="24"/>
        </w:rPr>
      </w:pPr>
      <w:r>
        <w:rPr>
          <w:rFonts w:hint="eastAsia" w:ascii="宋体" w:hAnsi="宋体" w:eastAsia="宋体"/>
          <w:sz w:val="24"/>
          <w:szCs w:val="24"/>
        </w:rPr>
        <w:t>2</w:t>
      </w:r>
      <w:r>
        <w:rPr>
          <w:rFonts w:ascii="宋体" w:hAnsi="宋体" w:eastAsia="宋体"/>
          <w:sz w:val="24"/>
          <w:szCs w:val="24"/>
        </w:rPr>
        <w:t>018</w:t>
      </w:r>
      <w:r>
        <w:rPr>
          <w:rFonts w:hint="eastAsia" w:ascii="宋体" w:hAnsi="宋体" w:eastAsia="宋体"/>
          <w:sz w:val="24"/>
          <w:szCs w:val="24"/>
        </w:rPr>
        <w:t>年8月，为落实卫健委“互联网</w:t>
      </w:r>
      <w:r>
        <w:rPr>
          <w:rFonts w:ascii="宋体" w:hAnsi="宋体" w:eastAsia="宋体"/>
          <w:sz w:val="24"/>
          <w:szCs w:val="24"/>
        </w:rPr>
        <w:t>+医疗健康”发展的意见，持续推进以电子病历为核心的医疗机构信息化建设，国家医政医管局印发《关于进一步推进以电子病历为核心的医疗机构信息化建设工作的通知》</w:t>
      </w:r>
      <w:r>
        <w:rPr>
          <w:rFonts w:hint="eastAsia" w:ascii="宋体" w:hAnsi="宋体" w:eastAsia="宋体"/>
          <w:sz w:val="24"/>
          <w:szCs w:val="24"/>
        </w:rPr>
        <w:t>要求：”</w:t>
      </w:r>
      <w:r>
        <w:rPr>
          <w:rFonts w:ascii="宋体" w:hAnsi="宋体" w:eastAsia="宋体"/>
          <w:sz w:val="24"/>
          <w:szCs w:val="24"/>
        </w:rPr>
        <w:t>地方各级部门要持续推进电子病历信息化建设</w:t>
      </w:r>
      <w:r>
        <w:rPr>
          <w:rFonts w:hint="eastAsia" w:ascii="宋体" w:hAnsi="宋体" w:eastAsia="宋体"/>
          <w:sz w:val="24"/>
          <w:szCs w:val="24"/>
        </w:rPr>
        <w:t>，辖区内二级以上医院按时参加电子病历系统功能应用水平分级评价。</w:t>
      </w:r>
      <w:r>
        <w:rPr>
          <w:rFonts w:ascii="宋体" w:hAnsi="宋体" w:eastAsia="宋体"/>
          <w:sz w:val="24"/>
          <w:szCs w:val="24"/>
        </w:rPr>
        <w:t>到2020年，所有三级医院要达到分级评价4级以上，二级医院要达到分级评价3级以上。</w:t>
      </w:r>
      <w:r>
        <w:rPr>
          <w:rFonts w:hint="eastAsia" w:ascii="宋体" w:hAnsi="宋体" w:eastAsia="宋体"/>
          <w:sz w:val="24"/>
          <w:szCs w:val="24"/>
        </w:rPr>
        <w:t>同时</w:t>
      </w:r>
      <w:r>
        <w:rPr>
          <w:rFonts w:ascii="宋体" w:hAnsi="宋体" w:eastAsia="宋体"/>
          <w:sz w:val="24"/>
          <w:szCs w:val="24"/>
        </w:rPr>
        <w:t>医院管理研究所每年将针对电子病历应用水平分级评价情况进行通报</w:t>
      </w:r>
      <w:r>
        <w:rPr>
          <w:rFonts w:hint="eastAsia" w:ascii="宋体" w:hAnsi="宋体" w:eastAsia="宋体"/>
          <w:sz w:val="24"/>
          <w:szCs w:val="24"/>
        </w:rPr>
        <w:t>。”而福建省卫健委则在国家政策的要求上进一步提高了</w:t>
      </w:r>
      <w:r>
        <w:rPr>
          <w:rFonts w:ascii="宋体" w:hAnsi="宋体" w:eastAsia="宋体"/>
          <w:sz w:val="24"/>
          <w:szCs w:val="24"/>
        </w:rPr>
        <w:t>以电子病历为核心的医疗机构信息化建设</w:t>
      </w:r>
      <w:r>
        <w:rPr>
          <w:rFonts w:hint="eastAsia" w:ascii="宋体" w:hAnsi="宋体" w:eastAsia="宋体"/>
          <w:sz w:val="24"/>
          <w:szCs w:val="24"/>
        </w:rPr>
        <w:t>的要求，于2</w:t>
      </w:r>
      <w:r>
        <w:rPr>
          <w:rFonts w:ascii="宋体" w:hAnsi="宋体" w:eastAsia="宋体"/>
          <w:sz w:val="24"/>
          <w:szCs w:val="24"/>
        </w:rPr>
        <w:t>018</w:t>
      </w:r>
      <w:r>
        <w:rPr>
          <w:rFonts w:hint="eastAsia" w:ascii="宋体" w:hAnsi="宋体" w:eastAsia="宋体"/>
          <w:sz w:val="24"/>
          <w:szCs w:val="24"/>
        </w:rPr>
        <w:t>年1</w:t>
      </w:r>
      <w:r>
        <w:rPr>
          <w:rFonts w:ascii="宋体" w:hAnsi="宋体" w:eastAsia="宋体"/>
          <w:sz w:val="24"/>
          <w:szCs w:val="24"/>
        </w:rPr>
        <w:t>2</w:t>
      </w:r>
      <w:r>
        <w:rPr>
          <w:rFonts w:hint="eastAsia" w:ascii="宋体" w:hAnsi="宋体" w:eastAsia="宋体"/>
          <w:sz w:val="24"/>
          <w:szCs w:val="24"/>
        </w:rPr>
        <w:t>月转发国家卫健委通知，要求各级卫生健康行政部门把电子病历信息化建设纳入医院评审评价和公立医院院长绩效考核，</w:t>
      </w:r>
      <w:r>
        <w:rPr>
          <w:rFonts w:hint="eastAsia" w:ascii="宋体" w:hAnsi="宋体" w:eastAsia="宋体"/>
          <w:b/>
          <w:color w:val="FF0000"/>
          <w:sz w:val="24"/>
          <w:szCs w:val="24"/>
        </w:rPr>
        <w:t>提出到</w:t>
      </w:r>
      <w:r>
        <w:rPr>
          <w:rFonts w:ascii="宋体" w:hAnsi="宋体" w:eastAsia="宋体"/>
          <w:b/>
          <w:color w:val="FF0000"/>
          <w:sz w:val="24"/>
          <w:szCs w:val="24"/>
        </w:rPr>
        <w:t>2020年</w:t>
      </w:r>
      <w:r>
        <w:rPr>
          <w:rFonts w:hint="eastAsia" w:ascii="宋体" w:hAnsi="宋体" w:eastAsia="宋体"/>
          <w:b/>
          <w:color w:val="FF0000"/>
          <w:sz w:val="24"/>
          <w:szCs w:val="24"/>
        </w:rPr>
        <w:t>全省三级医院</w:t>
      </w:r>
      <w:r>
        <w:rPr>
          <w:rFonts w:ascii="宋体" w:hAnsi="宋体" w:eastAsia="宋体"/>
          <w:b/>
          <w:color w:val="FF0000"/>
          <w:sz w:val="24"/>
          <w:szCs w:val="24"/>
        </w:rPr>
        <w:t>要达到分级评价5级以上，二级医院要达到分级评价4级及以上</w:t>
      </w:r>
      <w:r>
        <w:rPr>
          <w:rFonts w:hint="eastAsia" w:ascii="宋体" w:hAnsi="宋体" w:eastAsia="宋体"/>
          <w:color w:val="FF0000"/>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并且，全国多个省市把电子应用水平分级评价测评通过结果作为医院院长绩效考核、申报高水平医院的重要考核依据：如广东省高水平医院申报中把国家电子病历系统5级与国家互联互通标准化成熟度测评四级甲等作为考核标准。国家区域儿童医学中心申报中把国家电子病历系统四级与国家互联互通标准化成熟度测评四级甲等作为申报基本条件。</w:t>
      </w:r>
    </w:p>
    <w:p>
      <w:pPr>
        <w:spacing w:line="360" w:lineRule="auto"/>
        <w:ind w:firstLine="482" w:firstLineChars="200"/>
        <w:rPr>
          <w:rFonts w:ascii="宋体" w:hAnsi="宋体" w:eastAsia="宋体"/>
          <w:sz w:val="24"/>
          <w:szCs w:val="24"/>
        </w:rPr>
      </w:pPr>
      <w:r>
        <w:rPr>
          <w:rFonts w:hint="eastAsia" w:ascii="宋体" w:hAnsi="宋体" w:eastAsia="宋体"/>
          <w:b/>
          <w:color w:val="FF0000"/>
          <w:sz w:val="24"/>
          <w:szCs w:val="24"/>
        </w:rPr>
        <w:t>此外，到期电子病历建设未达标的医院或将面临降级等风险，进而影响收费标准，</w:t>
      </w:r>
      <w:r>
        <w:rPr>
          <w:rFonts w:hint="eastAsia" w:ascii="宋体" w:hAnsi="宋体" w:eastAsia="宋体"/>
          <w:sz w:val="24"/>
          <w:szCs w:val="24"/>
        </w:rPr>
        <w:t>因此医院应当有足够紧迫感提升电子病历系统水平。</w:t>
      </w:r>
    </w:p>
    <w:p>
      <w:pPr>
        <w:spacing w:line="360" w:lineRule="auto"/>
        <w:ind w:left="480"/>
        <w:rPr>
          <w:rFonts w:ascii="宋体" w:hAnsi="宋体" w:eastAsia="宋体"/>
          <w:b/>
          <w:sz w:val="24"/>
          <w:szCs w:val="24"/>
        </w:rPr>
      </w:pPr>
      <w:r>
        <w:rPr>
          <w:rFonts w:hint="eastAsia" w:ascii="宋体" w:hAnsi="宋体" w:eastAsia="宋体"/>
          <w:b/>
          <w:sz w:val="24"/>
          <w:szCs w:val="24"/>
        </w:rPr>
        <w:t>2、当前医药体制改革之下医保支付方式的变革依赖于电子病历系统的建设。</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目前国内正在积极施行的“按病种付费”、“</w:t>
      </w:r>
      <w:r>
        <w:rPr>
          <w:rFonts w:ascii="宋体" w:hAnsi="宋体" w:eastAsia="宋体"/>
          <w:sz w:val="24"/>
          <w:szCs w:val="24"/>
        </w:rPr>
        <w:t>DRGs付费</w:t>
      </w:r>
      <w:r>
        <w:rPr>
          <w:rFonts w:hint="eastAsia" w:ascii="宋体" w:hAnsi="宋体" w:eastAsia="宋体"/>
          <w:sz w:val="24"/>
          <w:szCs w:val="24"/>
        </w:rPr>
        <w:t>”付费标准的制定依据均来自各地医院《出院病例病案首页》和医疗保险结算清单。</w:t>
      </w:r>
      <w:r>
        <w:rPr>
          <w:rFonts w:hint="eastAsia" w:ascii="宋体" w:hAnsi="宋体" w:eastAsia="宋体"/>
          <w:b/>
          <w:color w:val="FF0000"/>
          <w:sz w:val="24"/>
          <w:szCs w:val="24"/>
        </w:rPr>
        <w:t>“按病种付费”和“</w:t>
      </w:r>
      <w:r>
        <w:rPr>
          <w:rFonts w:ascii="宋体" w:hAnsi="宋体" w:eastAsia="宋体"/>
          <w:b/>
          <w:color w:val="FF0000"/>
          <w:sz w:val="24"/>
          <w:szCs w:val="24"/>
        </w:rPr>
        <w:t>DRGs付费</w:t>
      </w:r>
      <w:r>
        <w:rPr>
          <w:rFonts w:hint="eastAsia" w:ascii="宋体" w:hAnsi="宋体" w:eastAsia="宋体"/>
          <w:b/>
          <w:color w:val="FF0000"/>
          <w:sz w:val="24"/>
          <w:szCs w:val="24"/>
        </w:rPr>
        <w:t>”精准的分组结果依赖于病案首页各个数据项目的准确性、规范性和标准化，特别是与</w:t>
      </w:r>
      <w:r>
        <w:rPr>
          <w:rFonts w:ascii="宋体" w:hAnsi="宋体" w:eastAsia="宋体"/>
          <w:b/>
          <w:color w:val="FF0000"/>
          <w:sz w:val="24"/>
          <w:szCs w:val="24"/>
        </w:rPr>
        <w:t xml:space="preserve"> DRG 分组相关的各项诊疗项目数据</w:t>
      </w:r>
      <w:r>
        <w:rPr>
          <w:rFonts w:hint="eastAsia" w:ascii="宋体" w:hAnsi="宋体" w:eastAsia="宋体"/>
          <w:b/>
          <w:color w:val="FF0000"/>
          <w:sz w:val="24"/>
          <w:szCs w:val="24"/>
        </w:rPr>
        <w:t>。</w:t>
      </w:r>
      <w:r>
        <w:rPr>
          <w:rFonts w:hint="eastAsia" w:ascii="宋体" w:hAnsi="宋体" w:eastAsia="宋体"/>
          <w:sz w:val="24"/>
          <w:szCs w:val="24"/>
        </w:rPr>
        <w:t>因此病案首页数据的规范化、标准化、完整性、准确性是单病种、</w:t>
      </w:r>
      <w:r>
        <w:rPr>
          <w:rFonts w:ascii="宋体" w:hAnsi="宋体" w:eastAsia="宋体"/>
          <w:sz w:val="24"/>
          <w:szCs w:val="24"/>
        </w:rPr>
        <w:t>DRG 分组结果客观、真实、可靠的必要保证。</w:t>
      </w:r>
      <w:r>
        <w:rPr>
          <w:rFonts w:hint="eastAsia" w:ascii="宋体" w:hAnsi="宋体" w:eastAsia="宋体"/>
          <w:sz w:val="24"/>
          <w:szCs w:val="24"/>
        </w:rPr>
        <w:t>而住院病案首页中患者基本信息、住院过程信息、诊疗信息、费用信息的规范、客观、真实、及时、完整的填写皆建立在各大医疗机构以电子病历为核心的信息化建设基础之上。因此以电子病历为核心的医院信息化建设是医改重要内容之一。</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hint="eastAsia" w:ascii="宋体" w:hAnsi="宋体" w:eastAsia="宋体"/>
          <w:b/>
          <w:sz w:val="24"/>
          <w:szCs w:val="24"/>
        </w:rPr>
        <w:t>电子病历系统是辅助医院提升医疗质量与安全实现现代化医院精细化管理的有效工具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医疗质量安全管理是医疗管理的核心，电子病历作为信息时代病历的新型存在形式，已发展成为医院临床与管理信息系统的核心代名词，承载着医疗质量与安</w:t>
      </w:r>
      <w:r>
        <w:rPr>
          <w:rFonts w:ascii="宋体" w:hAnsi="宋体" w:eastAsia="宋体"/>
          <w:sz w:val="24"/>
          <w:szCs w:val="24"/>
        </w:rPr>
        <w:t>全的关键流程与环节。</w:t>
      </w:r>
      <w:r>
        <w:rPr>
          <w:rFonts w:hint="eastAsia" w:ascii="宋体" w:hAnsi="宋体" w:eastAsia="宋体"/>
          <w:sz w:val="24"/>
          <w:szCs w:val="24"/>
        </w:rPr>
        <w:t>而围绕着病房医师、病房护士、门诊医师、检查科室、检验科室、医疗保障部门角色为核心的电子病历系统建设能够实现整个临床诊疗过程的全面信息化，实现用药、检查、检验、危急值、抗菌药物、手术、输血、会诊、病历等关键流程与环节的全流程可</w:t>
      </w:r>
      <w:r>
        <w:rPr>
          <w:rFonts w:ascii="Arial" w:hAnsi="Arial" w:eastAsia="宋体" w:cs="Arial"/>
          <w:color w:val="333333"/>
          <w:kern w:val="0"/>
          <w:sz w:val="24"/>
          <w:szCs w:val="24"/>
        </w:rPr>
        <w:t>追溯</w:t>
      </w:r>
      <w:r>
        <w:rPr>
          <w:rFonts w:hint="eastAsia" w:ascii="宋体" w:hAnsi="宋体" w:eastAsia="宋体"/>
          <w:sz w:val="24"/>
          <w:szCs w:val="24"/>
        </w:rPr>
        <w:t>闭环管理，促进临床医护人员医疗病历文书书写的规范化和标准化，大幅度提高医疗工作效率，提高医疗服务的效率和质量，降低医疗差错，确保诊疗过程的连贯性、完整性和一致性，能够为医疗质量管理与评价提供完整、规范、准确的医疗质量基础数据，帮助医务部门、质控部门建立起完善的医疗质量管理质控指标体系，全面加强医疗质量管理，持续改进医疗质量，保障医疗安全。</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4、电子病历系统应用水平分级评价对医院信息化建设具有指导意义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国家正在通过紧密的政策对医疗信息化建设进行引导、支持力度持续加大，推动医疗行业信息化快速发展，</w:t>
      </w:r>
      <w:r>
        <w:rPr>
          <w:rFonts w:ascii="宋体" w:hAnsi="宋体" w:eastAsia="宋体"/>
          <w:sz w:val="24"/>
          <w:szCs w:val="24"/>
        </w:rPr>
        <w:t>2018年后医疗信息化领域政策发布密集程度及强制性进一步提升</w:t>
      </w:r>
      <w:r>
        <w:rPr>
          <w:rFonts w:hint="eastAsia" w:ascii="宋体" w:hAnsi="宋体" w:eastAsia="宋体"/>
          <w:sz w:val="24"/>
          <w:szCs w:val="24"/>
        </w:rPr>
        <w:t>，先后陆续下发《医院信息平台应用功能指引》、《全国医院信息化建设标准与规范（试行）》等文件，明确医院信息化建设的基本内容和建设要求。纵观国内外医院信息化发展的历史和现状，结合业内专家的观点，未来的医院信息化建设将是以科学规划、可持续发展为指导思想，遵循相关标准和规范，从临床及相关业务系统的功能扩展、管理与决策、集成与整合、关键技术支撑、项目管理等多方着手，在改造和整合现有系统的基础上，逐步向全面的数字化医院方向发展。此次发布的《电子病历系统应用水平分级评价管理办法（试行）及评价标准（试行）》</w:t>
      </w:r>
      <w:r>
        <w:rPr>
          <w:rFonts w:ascii="宋体" w:hAnsi="宋体" w:eastAsia="宋体"/>
          <w:sz w:val="24"/>
          <w:szCs w:val="24"/>
        </w:rPr>
        <w:t>着重强调了不同诊疗环节数据的有效应用和数据质量，并通过诸多具体项目对评分规则细化，对于医院的信息化建设具有</w:t>
      </w:r>
      <w:r>
        <w:rPr>
          <w:rFonts w:hint="eastAsia" w:ascii="宋体" w:hAnsi="宋体" w:eastAsia="宋体"/>
          <w:sz w:val="24"/>
          <w:szCs w:val="24"/>
        </w:rPr>
        <w:t>很强的指引与导向</w:t>
      </w:r>
      <w:r>
        <w:rPr>
          <w:rFonts w:ascii="宋体" w:hAnsi="宋体" w:eastAsia="宋体"/>
          <w:sz w:val="24"/>
          <w:szCs w:val="24"/>
        </w:rPr>
        <w:t>意义。</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5、电子病历系统应用水平分级评价的实施情况</w:t>
      </w:r>
    </w:p>
    <w:p>
      <w:pPr>
        <w:spacing w:line="360" w:lineRule="auto"/>
        <w:ind w:firstLine="480" w:firstLineChars="200"/>
        <w:rPr>
          <w:rFonts w:ascii="宋体" w:hAnsi="宋体" w:eastAsia="宋体"/>
          <w:sz w:val="24"/>
          <w:szCs w:val="24"/>
        </w:rPr>
      </w:pPr>
      <w:r>
        <w:rPr>
          <w:rFonts w:ascii="宋体" w:hAnsi="宋体" w:eastAsia="宋体"/>
          <w:sz w:val="24"/>
          <w:szCs w:val="24"/>
        </w:rPr>
        <w:t>根据卫健委官网数据，</w:t>
      </w:r>
      <w:r>
        <w:rPr>
          <w:rFonts w:hint="eastAsia" w:ascii="宋体" w:hAnsi="宋体" w:eastAsia="宋体"/>
          <w:sz w:val="24"/>
          <w:szCs w:val="24"/>
        </w:rPr>
        <w:t>截止到</w:t>
      </w:r>
      <w:r>
        <w:rPr>
          <w:rFonts w:ascii="宋体" w:hAnsi="宋体" w:eastAsia="宋体"/>
          <w:sz w:val="24"/>
          <w:szCs w:val="24"/>
        </w:rPr>
        <w:t>2018年第1季度，全国7880个二级及以上公立医院中86.8%建立了规范化的电子病历。共有8265家医疗机构注册并参与数据填报，其中至少完成一次上报的医疗机构有6952家，其中二级医院4916家，三级医院1874家。在已填报的医疗机构中，</w:t>
      </w:r>
      <w:r>
        <w:rPr>
          <w:rFonts w:ascii="宋体" w:hAnsi="宋体" w:eastAsia="宋体"/>
          <w:b/>
          <w:color w:val="FF0000"/>
          <w:sz w:val="24"/>
          <w:szCs w:val="24"/>
        </w:rPr>
        <w:t>43.27%的医疗机构能够实现不同部门，甚至不同医疗机构之间的数据共享。</w:t>
      </w:r>
      <w:r>
        <w:rPr>
          <w:rFonts w:hint="eastAsia" w:ascii="宋体" w:hAnsi="宋体" w:eastAsia="宋体"/>
          <w:sz w:val="24"/>
          <w:szCs w:val="24"/>
        </w:rPr>
        <w:t>从</w:t>
      </w:r>
      <w:r>
        <w:rPr>
          <w:rFonts w:ascii="宋体" w:hAnsi="宋体" w:eastAsia="宋体"/>
          <w:sz w:val="24"/>
          <w:szCs w:val="24"/>
        </w:rPr>
        <w:t>2011年开始，连续7年组织电子病历系统功能应用水平分级评价工作</w:t>
      </w:r>
      <w:r>
        <w:rPr>
          <w:rFonts w:hint="eastAsia" w:ascii="宋体" w:hAnsi="宋体" w:eastAsia="宋体"/>
          <w:sz w:val="24"/>
          <w:szCs w:val="24"/>
        </w:rPr>
        <w:t>，</w:t>
      </w:r>
      <w:r>
        <w:rPr>
          <w:rFonts w:ascii="宋体" w:hAnsi="宋体" w:eastAsia="宋体"/>
          <w:sz w:val="24"/>
          <w:szCs w:val="24"/>
        </w:rPr>
        <w:t>累计通过5级及以上的医疗机构共有58家医院</w:t>
      </w:r>
      <w:r>
        <w:rPr>
          <w:rFonts w:hint="eastAsia" w:ascii="宋体" w:hAnsi="宋体" w:eastAsia="宋体"/>
          <w:sz w:val="24"/>
          <w:szCs w:val="24"/>
        </w:rPr>
        <w:t>。电子病历分级评价工作已成为全国</w:t>
      </w:r>
      <w:r>
        <w:rPr>
          <w:rFonts w:ascii="宋体" w:hAnsi="宋体" w:eastAsia="宋体"/>
          <w:sz w:val="24"/>
          <w:szCs w:val="24"/>
        </w:rPr>
        <w:t>医疗卫生信息化行业中知名度较高、参与医院数量较多、行业内口碑较好的信息化评价标准。其客观及时地掌握了我国医疗机构以电子病历为核心的信息化建设成效、应用水平和存在问题，并积极引导医疗机构以电子病历为核心的信息化建设沿着提升医疗质量、保障患者安全、提高服务效率、降低医疗成本的科学方向发展。</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6、电子病历系统应用水平分级</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电子病历系统应用水平划分为</w:t>
      </w:r>
      <w:r>
        <w:rPr>
          <w:rFonts w:ascii="宋体" w:hAnsi="宋体" w:eastAsia="宋体"/>
          <w:sz w:val="24"/>
          <w:szCs w:val="24"/>
        </w:rPr>
        <w:t>9个等级。</w:t>
      </w:r>
      <w:r>
        <w:rPr>
          <w:rFonts w:hint="eastAsia" w:ascii="宋体" w:hAnsi="宋体" w:eastAsia="宋体"/>
          <w:sz w:val="24"/>
          <w:szCs w:val="24"/>
        </w:rPr>
        <w:t>每一等级在医院数据采集、数据共享、数据利用等方面都有阶梯式的提升与要求，信息共享从科室内到科室间、再到全院互联互通，最后实现区域信息共享是一个循序渐进的过程。9</w:t>
      </w:r>
      <w:r>
        <w:rPr>
          <w:rFonts w:ascii="宋体" w:hAnsi="宋体" w:eastAsia="宋体"/>
          <w:sz w:val="24"/>
          <w:szCs w:val="24"/>
        </w:rPr>
        <w:t>个等级共分为</w:t>
      </w:r>
      <w:r>
        <w:rPr>
          <w:rFonts w:hint="eastAsia" w:ascii="宋体" w:hAnsi="宋体" w:eastAsia="宋体"/>
          <w:sz w:val="24"/>
          <w:szCs w:val="24"/>
        </w:rPr>
        <w:t>3</w:t>
      </w:r>
      <w:r>
        <w:rPr>
          <w:rFonts w:ascii="宋体" w:hAnsi="宋体" w:eastAsia="宋体"/>
          <w:sz w:val="24"/>
          <w:szCs w:val="24"/>
        </w:rPr>
        <w:t>个层次</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0</w:t>
      </w:r>
      <w:r>
        <w:rPr>
          <w:rFonts w:ascii="宋体" w:hAnsi="宋体" w:eastAsia="宋体"/>
          <w:sz w:val="24"/>
          <w:szCs w:val="24"/>
        </w:rPr>
        <w:t xml:space="preserve"> ～</w:t>
      </w:r>
      <w:r>
        <w:rPr>
          <w:rFonts w:hint="eastAsia" w:ascii="宋体" w:hAnsi="宋体" w:eastAsia="宋体"/>
          <w:sz w:val="24"/>
          <w:szCs w:val="24"/>
        </w:rPr>
        <w:t>3</w:t>
      </w:r>
      <w:r>
        <w:rPr>
          <w:rFonts w:ascii="宋体" w:hAnsi="宋体" w:eastAsia="宋体"/>
          <w:sz w:val="24"/>
          <w:szCs w:val="24"/>
        </w:rPr>
        <w:t xml:space="preserve"> 级是初级水平</w:t>
      </w:r>
      <w:r>
        <w:rPr>
          <w:rFonts w:hint="eastAsia" w:ascii="宋体" w:hAnsi="宋体" w:eastAsia="宋体"/>
          <w:sz w:val="24"/>
          <w:szCs w:val="24"/>
        </w:rPr>
        <w:t>（数据采集，数据进入计算机）</w:t>
      </w:r>
      <w:r>
        <w:rPr>
          <w:rFonts w:ascii="宋体" w:hAnsi="宋体" w:eastAsia="宋体"/>
          <w:sz w:val="24"/>
          <w:szCs w:val="24"/>
        </w:rPr>
        <w:t>，主要目标是实现医疗数据的电子化采集和科室部门内部的数据共享；</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 xml:space="preserve"> ～</w:t>
      </w:r>
      <w:r>
        <w:rPr>
          <w:rFonts w:hint="eastAsia" w:ascii="宋体" w:hAnsi="宋体" w:eastAsia="宋体"/>
          <w:sz w:val="24"/>
          <w:szCs w:val="24"/>
        </w:rPr>
        <w:t>5</w:t>
      </w:r>
      <w:r>
        <w:rPr>
          <w:rFonts w:ascii="宋体" w:hAnsi="宋体" w:eastAsia="宋体"/>
          <w:sz w:val="24"/>
          <w:szCs w:val="24"/>
        </w:rPr>
        <w:t>级是中级水平</w:t>
      </w:r>
      <w:r>
        <w:rPr>
          <w:rFonts w:hint="eastAsia" w:ascii="宋体" w:hAnsi="宋体" w:eastAsia="宋体"/>
          <w:sz w:val="24"/>
          <w:szCs w:val="24"/>
        </w:rPr>
        <w:t>（信息共享，网络数据传输信息多部门共享）</w:t>
      </w:r>
      <w:r>
        <w:rPr>
          <w:rFonts w:ascii="宋体" w:hAnsi="宋体" w:eastAsia="宋体"/>
          <w:sz w:val="24"/>
          <w:szCs w:val="24"/>
        </w:rPr>
        <w:t>，主要目标是实现全院系统集成和统一数据管理；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 xml:space="preserve"> ～</w:t>
      </w:r>
      <w:r>
        <w:rPr>
          <w:rFonts w:hint="eastAsia" w:ascii="宋体" w:hAnsi="宋体" w:eastAsia="宋体"/>
          <w:sz w:val="24"/>
          <w:szCs w:val="24"/>
        </w:rPr>
        <w:t>8</w:t>
      </w:r>
      <w:r>
        <w:rPr>
          <w:rFonts w:ascii="宋体" w:hAnsi="宋体" w:eastAsia="宋体"/>
          <w:sz w:val="24"/>
          <w:szCs w:val="24"/>
        </w:rPr>
        <w:t>级是高级水平</w:t>
      </w:r>
      <w:r>
        <w:rPr>
          <w:rFonts w:hint="eastAsia" w:ascii="宋体" w:hAnsi="宋体" w:eastAsia="宋体"/>
          <w:sz w:val="24"/>
          <w:szCs w:val="24"/>
        </w:rPr>
        <w:t>（智能支持，知识库支持综合信息判断自动警示）</w:t>
      </w:r>
      <w:r>
        <w:rPr>
          <w:rFonts w:ascii="宋体" w:hAnsi="宋体" w:eastAsia="宋体"/>
          <w:sz w:val="24"/>
          <w:szCs w:val="24"/>
        </w:rPr>
        <w:t>，主要目标是体现医院信息系统对医疗质量促进以及健康医疗数据融合应用的大方向、大趋势</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sectPr>
          <w:pgSz w:w="11906" w:h="16838"/>
          <w:pgMar w:top="1440" w:right="1800" w:bottom="1440" w:left="1800" w:header="851" w:footer="992" w:gutter="0"/>
          <w:cols w:space="425" w:num="1"/>
          <w:docGrid w:type="lines" w:linePitch="312" w:charSpace="0"/>
        </w:sectPr>
      </w:pPr>
    </w:p>
    <w:p>
      <w:pPr>
        <w:pStyle w:val="2"/>
      </w:pPr>
      <w:bookmarkStart w:id="2" w:name="_Toc11527"/>
      <w:bookmarkStart w:id="3" w:name="_Toc34409937"/>
      <w:r>
        <w:rPr>
          <w:rFonts w:hint="eastAsia"/>
        </w:rPr>
        <w:t>建设目标</w:t>
      </w:r>
      <w:bookmarkEnd w:id="2"/>
      <w:bookmarkEnd w:id="3"/>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福建省老年医院，目前医院的信息化建设局部功能满足3级水平，局部功能满足4级水平，局部功能满足5级水平，具体的功能点评估见第3章，本次的建设目标,改造福建省老年</w:t>
      </w:r>
      <w:r>
        <w:rPr>
          <w:rFonts w:ascii="宋体" w:hAnsi="宋体" w:eastAsia="宋体"/>
          <w:b/>
          <w:sz w:val="24"/>
          <w:szCs w:val="24"/>
        </w:rPr>
        <w:t>医院</w:t>
      </w:r>
      <w:r>
        <w:rPr>
          <w:rFonts w:hint="eastAsia" w:ascii="宋体" w:hAnsi="宋体" w:eastAsia="宋体"/>
          <w:b/>
          <w:sz w:val="24"/>
          <w:szCs w:val="24"/>
        </w:rPr>
        <w:t>信息</w:t>
      </w:r>
      <w:r>
        <w:rPr>
          <w:rFonts w:ascii="宋体" w:hAnsi="宋体" w:eastAsia="宋体"/>
          <w:b/>
          <w:sz w:val="24"/>
          <w:szCs w:val="24"/>
        </w:rPr>
        <w:t>系统</w:t>
      </w:r>
      <w:r>
        <w:rPr>
          <w:rFonts w:hint="eastAsia" w:ascii="宋体" w:hAnsi="宋体" w:eastAsia="宋体"/>
          <w:b/>
          <w:sz w:val="24"/>
          <w:szCs w:val="24"/>
        </w:rPr>
        <w:t>的局部功能，使已建信息系统符合</w:t>
      </w:r>
      <w:r>
        <w:rPr>
          <w:rFonts w:ascii="宋体" w:hAnsi="宋体" w:eastAsia="宋体"/>
          <w:b/>
          <w:sz w:val="24"/>
          <w:szCs w:val="24"/>
        </w:rPr>
        <w:t>电子病历系统应用4级</w:t>
      </w:r>
      <w:r>
        <w:rPr>
          <w:rFonts w:hint="eastAsia" w:ascii="宋体" w:hAnsi="宋体" w:eastAsia="宋体"/>
          <w:b/>
          <w:sz w:val="24"/>
          <w:szCs w:val="24"/>
        </w:rPr>
        <w:t>评价标准要求，同时以评促建，以信息化为抓手帮助医院提升医疗质量管理，消除信息化孤岛，在满足国家建设标准的前提下提升临床医护人员的系统使用便捷性。</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在本次建设中，以通过4级为核心目标，以《电子病历系统应用水平分级评价标准（试行）》为指导，按照电子病历系统应用水平</w:t>
      </w:r>
      <w:r>
        <w:rPr>
          <w:rFonts w:ascii="宋体" w:hAnsi="宋体" w:eastAsia="宋体"/>
          <w:sz w:val="24"/>
          <w:szCs w:val="24"/>
        </w:rPr>
        <w:t>4</w:t>
      </w:r>
      <w:r>
        <w:rPr>
          <w:rFonts w:hint="eastAsia" w:ascii="宋体" w:hAnsi="宋体" w:eastAsia="宋体"/>
          <w:sz w:val="24"/>
          <w:szCs w:val="24"/>
        </w:rPr>
        <w:t>级要求,组织所有医院关联的的信息化厂家，对各个系统进行3</w:t>
      </w:r>
      <w:r>
        <w:rPr>
          <w:rFonts w:ascii="宋体" w:hAnsi="宋体" w:eastAsia="宋体"/>
          <w:sz w:val="24"/>
          <w:szCs w:val="24"/>
        </w:rPr>
        <w:t>60</w:t>
      </w:r>
      <w:r>
        <w:rPr>
          <w:rFonts w:hint="eastAsia" w:ascii="宋体" w:hAnsi="宋体" w:eastAsia="宋体"/>
          <w:sz w:val="24"/>
          <w:szCs w:val="24"/>
        </w:rPr>
        <w:t>度评估，通过改造系统、新建系统、集成整合等方式来达成功能达标，同时也适当优化医院内部的就诊流程和管理流程，使信息化的应用范围达标和数据质量达标。同时通过前瞻性规划和信息化的顶层设计，为下一步5级建设做好铺垫，使信息化建设成为医院提升医疗质量与医患安全管控的有效工具。</w:t>
      </w:r>
    </w:p>
    <w:p>
      <w:pPr>
        <w:pStyle w:val="2"/>
      </w:pPr>
      <w:bookmarkStart w:id="4" w:name="_Toc20016"/>
      <w:bookmarkStart w:id="5" w:name="_Toc34409938"/>
      <w:r>
        <w:rPr>
          <w:rFonts w:hint="eastAsia"/>
        </w:rPr>
        <w:t>现状调研</w:t>
      </w:r>
      <w:bookmarkEnd w:id="4"/>
      <w:bookmarkEnd w:id="5"/>
    </w:p>
    <w:p>
      <w:pPr>
        <w:pStyle w:val="3"/>
      </w:pPr>
      <w:bookmarkStart w:id="6" w:name="_Toc34409939"/>
      <w:bookmarkStart w:id="7" w:name="_Toc25554"/>
      <w:r>
        <w:rPr>
          <w:rFonts w:hint="eastAsia"/>
        </w:rPr>
        <w:t>分级评价管理办法</w:t>
      </w:r>
      <w:bookmarkEnd w:id="6"/>
      <w:bookmarkEnd w:id="7"/>
    </w:p>
    <w:p>
      <w:pPr>
        <w:spacing w:line="360" w:lineRule="auto"/>
        <w:ind w:firstLine="480" w:firstLineChars="200"/>
        <w:rPr>
          <w:rFonts w:ascii="宋体" w:hAnsi="宋体" w:eastAsia="宋体"/>
          <w:sz w:val="24"/>
          <w:szCs w:val="24"/>
        </w:rPr>
      </w:pPr>
      <w:r>
        <w:rPr>
          <w:rFonts w:hint="eastAsia" w:ascii="宋体" w:hAnsi="宋体" w:eastAsia="宋体"/>
          <w:sz w:val="24"/>
          <w:szCs w:val="24"/>
        </w:rPr>
        <w:t>电子病历系统应用水平分级评价采用定量评分、整体分级的方法，综合评价医疗机构电子病历系统局部功能情况与整体应用水平。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（一）局部应用情况评价。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局部功能评价是针对医疗机构中各个环节的医疗业务信息系统情况进行的评估。</w:t>
      </w:r>
    </w:p>
    <w:p>
      <w:pPr>
        <w:spacing w:line="360" w:lineRule="auto"/>
        <w:ind w:firstLine="480" w:firstLineChars="200"/>
        <w:rPr>
          <w:rFonts w:ascii="宋体" w:hAnsi="宋体" w:eastAsia="宋体"/>
          <w:sz w:val="24"/>
          <w:szCs w:val="24"/>
        </w:rPr>
      </w:pPr>
      <w:r>
        <w:rPr>
          <w:rFonts w:ascii="宋体" w:hAnsi="宋体" w:eastAsia="宋体"/>
          <w:sz w:val="24"/>
          <w:szCs w:val="24"/>
        </w:rPr>
        <w:t>1.评价项目：根据《电子病历系统功能规范（试行）》、《电子病历应用管理规范（试行）》等规范性文件，确定了医疗工作流程中的10个角色，39个评价项目。</w:t>
      </w:r>
    </w:p>
    <w:p>
      <w:pPr>
        <w:spacing w:line="360" w:lineRule="auto"/>
        <w:ind w:firstLine="480" w:firstLineChars="200"/>
        <w:rPr>
          <w:rFonts w:ascii="宋体" w:hAnsi="宋体" w:eastAsia="宋体"/>
          <w:sz w:val="24"/>
          <w:szCs w:val="24"/>
        </w:rPr>
      </w:pPr>
      <w:r>
        <w:rPr>
          <w:rFonts w:ascii="宋体" w:hAnsi="宋体" w:eastAsia="宋体"/>
          <w:sz w:val="24"/>
          <w:szCs w:val="24"/>
        </w:rPr>
        <w:t>2.局部应用情况评价方法：就39个评价项目分别对电子病历系统功能、有效应用、数据质量三个方面进行评分，将三个得分相乘，得到此评价项目的综合评分。即：</w:t>
      </w:r>
      <w:r>
        <w:rPr>
          <w:rFonts w:ascii="宋体" w:hAnsi="宋体" w:eastAsia="宋体"/>
          <w:b/>
          <w:sz w:val="24"/>
          <w:szCs w:val="24"/>
        </w:rPr>
        <w:t>单个项目综合评分=功能评分×有效应用评分×数据质量评分。各项目实际评分相加，即为该医疗机构电子病历系统评价总分</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电子病历系统功能评分。对39个评价项目均按照电子病历应用水平0—8等级对应的系统局部要求，确定每一个评价项目对应等级的功能要求与评价内容（评为某一级别必须达到前几级别相应的要求）。根据各医疗机构电子病历系统相应评价项目达到的功能状态，确定该评价项目的得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2）电子病历系统有效应用评分。按照每个评价项目的具体评价内容，分别计算该项目在医疗机构内的实际应用比例，所得比值即为得分，精确到小数点后两位。</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3）电子病历系统数据质量评分。按照每个评分项目中列出的数据质量评价内容，分别评价该项目相关评价数据的质量指数，所得指数为0—1之间的数值，精确到小数点后两位。</w:t>
      </w:r>
      <w:r>
        <w:rPr>
          <w:rFonts w:hint="eastAsia" w:ascii="宋体" w:hAnsi="宋体" w:eastAsia="宋体"/>
          <w:sz w:val="24"/>
          <w:szCs w:val="24"/>
        </w:rPr>
        <w:t>且数据质量指数均不得低于</w:t>
      </w:r>
      <w:r>
        <w:rPr>
          <w:rFonts w:ascii="宋体" w:hAnsi="宋体" w:eastAsia="宋体"/>
          <w:sz w:val="24"/>
          <w:szCs w:val="24"/>
        </w:rPr>
        <w:t>0.5。</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（二）整体应用水平评价。</w:t>
      </w:r>
    </w:p>
    <w:tbl>
      <w:tblPr>
        <w:tblStyle w:val="46"/>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261"/>
        <w:gridCol w:w="1134"/>
        <w:gridCol w:w="1131"/>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bCs/>
                <w:sz w:val="24"/>
                <w:szCs w:val="24"/>
              </w:rPr>
            </w:pPr>
            <w:r>
              <w:rPr>
                <w:rFonts w:hint="eastAsia" w:ascii="宋体" w:hAnsi="宋体" w:eastAsia="宋体"/>
                <w:bCs/>
                <w:sz w:val="24"/>
                <w:szCs w:val="24"/>
              </w:rPr>
              <w:t>等级</w:t>
            </w:r>
          </w:p>
        </w:tc>
        <w:tc>
          <w:tcPr>
            <w:tcW w:w="42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bCs/>
                <w:sz w:val="24"/>
                <w:szCs w:val="24"/>
              </w:rPr>
            </w:pPr>
            <w:r>
              <w:rPr>
                <w:rFonts w:hint="eastAsia" w:ascii="宋体" w:hAnsi="宋体" w:eastAsia="宋体"/>
                <w:bCs/>
                <w:sz w:val="24"/>
                <w:szCs w:val="24"/>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基本</w:t>
            </w:r>
          </w:p>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项目数</w:t>
            </w:r>
          </w:p>
          <w:p>
            <w:pPr>
              <w:snapToGrid w:val="0"/>
              <w:spacing w:line="360" w:lineRule="auto"/>
              <w:jc w:val="center"/>
              <w:rPr>
                <w:rFonts w:ascii="宋体" w:hAnsi="宋体" w:eastAsia="宋体"/>
                <w:bCs/>
                <w:sz w:val="24"/>
                <w:szCs w:val="24"/>
              </w:rPr>
            </w:pPr>
            <w:r>
              <w:rPr>
                <w:rFonts w:hint="eastAsia" w:ascii="宋体" w:hAnsi="宋体" w:eastAsia="宋体"/>
                <w:bCs/>
                <w:spacing w:val="-6"/>
                <w:sz w:val="24"/>
                <w:szCs w:val="24"/>
              </w:rPr>
              <w:t>（项）</w:t>
            </w:r>
          </w:p>
        </w:tc>
        <w:tc>
          <w:tcPr>
            <w:tcW w:w="11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选择</w:t>
            </w:r>
          </w:p>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项目数</w:t>
            </w:r>
          </w:p>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（项）</w:t>
            </w:r>
          </w:p>
        </w:tc>
        <w:tc>
          <w:tcPr>
            <w:tcW w:w="12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最低</w:t>
            </w:r>
          </w:p>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总评分</w:t>
            </w:r>
          </w:p>
          <w:p>
            <w:pPr>
              <w:snapToGrid w:val="0"/>
              <w:spacing w:line="360" w:lineRule="auto"/>
              <w:jc w:val="center"/>
              <w:rPr>
                <w:rFonts w:ascii="宋体" w:hAnsi="宋体" w:eastAsia="宋体"/>
                <w:bCs/>
                <w:sz w:val="24"/>
                <w:szCs w:val="24"/>
              </w:rPr>
            </w:pPr>
            <w:r>
              <w:rPr>
                <w:rFonts w:hint="eastAsia" w:ascii="宋体" w:hAnsi="宋体" w:eastAsia="宋体"/>
                <w:bCs/>
                <w:spacing w:val="-6"/>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0级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未形成电子病历系统</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ascii="宋体" w:hAnsi="宋体" w:eastAsia="宋体"/>
                <w:sz w:val="24"/>
                <w:szCs w:val="24"/>
              </w:rPr>
              <w:t>--</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ascii="宋体" w:hAnsi="宋体" w:eastAsia="宋体"/>
                <w:sz w:val="24"/>
                <w:szCs w:val="24"/>
              </w:rPr>
              <w:t>--</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1级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独立医疗信息系统建立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5</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20/32</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2级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医疗信息部门内部交换</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10</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15/27</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3级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部门间数据交换</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14</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12/25</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b/>
                <w:color w:val="FF0000"/>
                <w:sz w:val="24"/>
                <w:szCs w:val="24"/>
              </w:rPr>
            </w:pPr>
            <w:r>
              <w:rPr>
                <w:rFonts w:hint="eastAsia" w:ascii="宋体" w:hAnsi="宋体" w:eastAsia="宋体"/>
                <w:b/>
                <w:color w:val="FF0000"/>
                <w:sz w:val="24"/>
                <w:szCs w:val="24"/>
              </w:rPr>
              <w:t>4级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b/>
                <w:color w:val="FF0000"/>
                <w:sz w:val="24"/>
                <w:szCs w:val="24"/>
              </w:rPr>
            </w:pPr>
            <w:r>
              <w:rPr>
                <w:rFonts w:hint="eastAsia" w:ascii="宋体" w:hAnsi="宋体" w:eastAsia="宋体"/>
                <w:b/>
                <w:color w:val="FF0000"/>
                <w:sz w:val="24"/>
                <w:szCs w:val="24"/>
              </w:rPr>
              <w:t>全院信息共享，初级医疗决策支持</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color w:val="FF0000"/>
                <w:sz w:val="24"/>
                <w:szCs w:val="24"/>
              </w:rPr>
            </w:pPr>
            <w:r>
              <w:rPr>
                <w:rFonts w:ascii="宋体" w:hAnsi="宋体" w:eastAsia="宋体" w:cs="Arial"/>
                <w:b/>
                <w:color w:val="FF0000"/>
                <w:sz w:val="24"/>
                <w:szCs w:val="24"/>
              </w:rPr>
              <w:t>16</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color w:val="FF0000"/>
                <w:sz w:val="24"/>
                <w:szCs w:val="24"/>
              </w:rPr>
            </w:pPr>
            <w:r>
              <w:rPr>
                <w:rFonts w:ascii="宋体" w:hAnsi="宋体" w:eastAsia="宋体" w:cs="Arial"/>
                <w:b/>
                <w:color w:val="FF0000"/>
                <w:sz w:val="24"/>
                <w:szCs w:val="24"/>
              </w:rPr>
              <w:t>10/23</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color w:val="FF0000"/>
                <w:sz w:val="24"/>
                <w:szCs w:val="24"/>
              </w:rPr>
            </w:pPr>
            <w:r>
              <w:rPr>
                <w:rFonts w:ascii="宋体" w:hAnsi="宋体" w:eastAsia="宋体" w:cs="Arial"/>
                <w:b/>
                <w:color w:val="FF0000"/>
                <w:sz w:val="24"/>
                <w:szCs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5级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统一数据管理，中级医疗决策支持</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20</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6/19</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6级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全流程医疗数据闭环管理，高级医疗决策支持</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21</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5/18</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7级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医疗安全质量管控，区域医疗信息共享</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22</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4/17</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8级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健康信息整合，医疗安全质量持续提升</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22</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4/17</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220</w:t>
            </w:r>
          </w:p>
        </w:tc>
      </w:tr>
    </w:tbl>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1）电子病历系统评价总分。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评价总分即局部评价时各个项目评分的总和，是反映医疗机构电子病历整体应用情况的量化指标。评价总分不应低于该级别要求的最低总分标准。</w:t>
      </w:r>
      <w:r>
        <w:rPr>
          <w:rFonts w:hint="eastAsia" w:ascii="宋体" w:hAnsi="宋体" w:eastAsia="宋体"/>
          <w:b/>
          <w:color w:val="FF0000"/>
          <w:sz w:val="24"/>
          <w:szCs w:val="24"/>
        </w:rPr>
        <w:t>例如，医疗机构电子病历系统要评价为第</w:t>
      </w:r>
      <w:r>
        <w:rPr>
          <w:rFonts w:ascii="宋体" w:hAnsi="宋体" w:eastAsia="宋体"/>
          <w:b/>
          <w:color w:val="FF0000"/>
          <w:sz w:val="24"/>
          <w:szCs w:val="24"/>
        </w:rPr>
        <w:t>4级水平，则医疗机构电子病历系统评价总分不得少于110分。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2）基本项目完成情况。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基本项目是电子病历系统中的关键功能，“电子病历系统应用水平分级评分标准”中列出的各个级别的基本项是医疗机构整体达到该级别所必须实现的功能，且每个基本项目的有效应用范围必须达到</w:t>
      </w:r>
      <w:r>
        <w:rPr>
          <w:rFonts w:ascii="宋体" w:hAnsi="宋体" w:eastAsia="宋体"/>
          <w:sz w:val="24"/>
          <w:szCs w:val="24"/>
        </w:rPr>
        <w:t>80%以上</w:t>
      </w:r>
      <w:r>
        <w:rPr>
          <w:rFonts w:hint="eastAsia" w:ascii="宋体" w:hAnsi="宋体" w:eastAsia="宋体"/>
          <w:sz w:val="24"/>
          <w:szCs w:val="24"/>
        </w:rPr>
        <w:t>，</w:t>
      </w:r>
      <w:r>
        <w:rPr>
          <w:rFonts w:ascii="宋体" w:hAnsi="宋体" w:eastAsia="宋体"/>
          <w:sz w:val="24"/>
          <w:szCs w:val="24"/>
        </w:rPr>
        <w:t>数据质量指数在0.5以上。</w:t>
      </w:r>
    </w:p>
    <w:p>
      <w:pPr>
        <w:spacing w:line="360" w:lineRule="auto"/>
        <w:ind w:firstLine="480" w:firstLineChars="200"/>
        <w:rPr>
          <w:rFonts w:ascii="宋体" w:hAnsi="宋体" w:eastAsia="宋体"/>
          <w:b/>
          <w:color w:val="FF0000"/>
          <w:sz w:val="24"/>
          <w:szCs w:val="24"/>
        </w:rPr>
      </w:pPr>
      <w:r>
        <w:rPr>
          <w:rFonts w:ascii="宋体" w:hAnsi="宋体" w:eastAsia="宋体"/>
          <w:sz w:val="24"/>
          <w:szCs w:val="24"/>
        </w:rPr>
        <w:t>例如，医疗机构电子病历系统达到第4级，则电子病历系统中列为第4等级的16个基本项目必须达到或超过第4级的功能，</w:t>
      </w:r>
      <w:r>
        <w:rPr>
          <w:rFonts w:ascii="宋体" w:hAnsi="宋体" w:eastAsia="宋体"/>
          <w:b/>
          <w:color w:val="FF0000"/>
          <w:sz w:val="24"/>
          <w:szCs w:val="24"/>
        </w:rPr>
        <w:t>且每个基本项目的评分均必须超过4×0.8×0.5=1.6分。</w:t>
      </w:r>
    </w:p>
    <w:tbl>
      <w:tblPr>
        <w:tblStyle w:val="4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41"/>
        <w:gridCol w:w="1984"/>
        <w:gridCol w:w="184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trPr>
        <w:tc>
          <w:tcPr>
            <w:tcW w:w="67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
                <w:bCs/>
                <w:sz w:val="18"/>
                <w:szCs w:val="18"/>
              </w:rPr>
            </w:pPr>
            <w:r>
              <w:rPr>
                <w:rFonts w:hint="eastAsia" w:ascii="宋体" w:hAnsi="宋体" w:eastAsia="宋体"/>
                <w:b/>
                <w:bCs/>
                <w:sz w:val="18"/>
                <w:szCs w:val="18"/>
              </w:rPr>
              <w:t>项目序号</w:t>
            </w:r>
          </w:p>
        </w:tc>
        <w:tc>
          <w:tcPr>
            <w:tcW w:w="74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
                <w:bCs/>
                <w:sz w:val="18"/>
                <w:szCs w:val="18"/>
              </w:rPr>
            </w:pPr>
            <w:r>
              <w:rPr>
                <w:rFonts w:hint="eastAsia" w:ascii="宋体" w:hAnsi="宋体" w:eastAsia="宋体"/>
                <w:b/>
                <w:bCs/>
                <w:sz w:val="18"/>
                <w:szCs w:val="18"/>
              </w:rPr>
              <w:t>工作角色</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bCs/>
                <w:sz w:val="18"/>
                <w:szCs w:val="18"/>
              </w:rPr>
            </w:pPr>
            <w:r>
              <w:rPr>
                <w:rFonts w:hint="eastAsia" w:ascii="宋体" w:hAnsi="宋体" w:eastAsia="宋体"/>
                <w:b/>
                <w:bCs/>
                <w:sz w:val="18"/>
                <w:szCs w:val="18"/>
              </w:rPr>
              <w:t>评价项目4级功能</w:t>
            </w:r>
          </w:p>
          <w:p>
            <w:pPr>
              <w:rPr>
                <w:rFonts w:ascii="宋体" w:hAnsi="宋体" w:eastAsia="宋体"/>
                <w:b/>
                <w:bCs/>
                <w:sz w:val="18"/>
                <w:szCs w:val="18"/>
              </w:rPr>
            </w:pPr>
            <w:r>
              <w:rPr>
                <w:rFonts w:hint="eastAsia" w:ascii="宋体" w:hAnsi="宋体" w:eastAsia="宋体"/>
                <w:b/>
                <w:bCs/>
                <w:color w:val="FF0000"/>
                <w:sz w:val="18"/>
                <w:szCs w:val="18"/>
              </w:rPr>
              <w:t>（1</w:t>
            </w:r>
            <w:r>
              <w:rPr>
                <w:rFonts w:ascii="宋体" w:hAnsi="宋体" w:eastAsia="宋体"/>
                <w:b/>
                <w:bCs/>
                <w:color w:val="FF0000"/>
                <w:sz w:val="18"/>
                <w:szCs w:val="18"/>
              </w:rPr>
              <w:t>6</w:t>
            </w:r>
            <w:r>
              <w:rPr>
                <w:rFonts w:hint="eastAsia" w:ascii="宋体" w:hAnsi="宋体" w:eastAsia="宋体"/>
                <w:b/>
                <w:bCs/>
                <w:color w:val="FF0000"/>
                <w:sz w:val="18"/>
                <w:szCs w:val="18"/>
              </w:rPr>
              <w:t>项必须达到4分）</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bCs/>
                <w:sz w:val="18"/>
                <w:szCs w:val="18"/>
              </w:rPr>
            </w:pPr>
            <w:r>
              <w:rPr>
                <w:rFonts w:hint="eastAsia" w:ascii="宋体" w:hAnsi="宋体" w:eastAsia="宋体"/>
                <w:b/>
                <w:bCs/>
                <w:sz w:val="18"/>
                <w:szCs w:val="18"/>
              </w:rPr>
              <w:t>有效应用评价指标</w:t>
            </w:r>
          </w:p>
          <w:p>
            <w:pPr>
              <w:rPr>
                <w:rFonts w:ascii="宋体" w:hAnsi="宋体" w:eastAsia="宋体"/>
                <w:b/>
                <w:bCs/>
                <w:sz w:val="18"/>
                <w:szCs w:val="18"/>
              </w:rPr>
            </w:pPr>
            <w:r>
              <w:rPr>
                <w:rFonts w:hint="eastAsia" w:ascii="宋体" w:hAnsi="宋体" w:eastAsia="宋体"/>
                <w:b/>
                <w:bCs/>
                <w:color w:val="FF0000"/>
                <w:sz w:val="18"/>
                <w:szCs w:val="18"/>
              </w:rPr>
              <w:t>（</w:t>
            </w:r>
            <w:r>
              <w:rPr>
                <w:rFonts w:ascii="宋体" w:hAnsi="宋体" w:eastAsia="宋体"/>
                <w:b/>
                <w:bCs/>
                <w:color w:val="FF0000"/>
                <w:sz w:val="18"/>
                <w:szCs w:val="18"/>
              </w:rPr>
              <w:t>80%以上</w:t>
            </w:r>
            <w:r>
              <w:rPr>
                <w:rFonts w:hint="eastAsia" w:ascii="宋体" w:hAnsi="宋体" w:eastAsia="宋体"/>
                <w:b/>
                <w:bCs/>
                <w:color w:val="FF0000"/>
                <w:sz w:val="18"/>
                <w:szCs w:val="18"/>
              </w:rPr>
              <w:t>）</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bCs/>
                <w:sz w:val="18"/>
                <w:szCs w:val="18"/>
              </w:rPr>
            </w:pPr>
            <w:r>
              <w:rPr>
                <w:rFonts w:hint="eastAsia" w:ascii="宋体" w:hAnsi="宋体" w:eastAsia="宋体"/>
                <w:b/>
                <w:bCs/>
                <w:sz w:val="18"/>
                <w:szCs w:val="18"/>
              </w:rPr>
              <w:t>数据质量评价指标</w:t>
            </w:r>
          </w:p>
          <w:p>
            <w:pPr>
              <w:rPr>
                <w:rFonts w:ascii="宋体" w:hAnsi="宋体" w:eastAsia="宋体"/>
                <w:b/>
                <w:bCs/>
                <w:sz w:val="18"/>
                <w:szCs w:val="18"/>
              </w:rPr>
            </w:pPr>
            <w:r>
              <w:rPr>
                <w:rFonts w:hint="eastAsia" w:ascii="宋体" w:hAnsi="宋体" w:eastAsia="宋体"/>
                <w:b/>
                <w:bCs/>
                <w:color w:val="FF0000"/>
                <w:sz w:val="18"/>
                <w:szCs w:val="18"/>
              </w:rPr>
              <w:t>（</w:t>
            </w:r>
            <w:r>
              <w:rPr>
                <w:rFonts w:ascii="宋体" w:hAnsi="宋体" w:eastAsia="宋体"/>
                <w:b/>
                <w:color w:val="FF0000"/>
                <w:sz w:val="18"/>
                <w:szCs w:val="18"/>
              </w:rPr>
              <w:t>0.5以上</w:t>
            </w:r>
            <w:r>
              <w:rPr>
                <w:rFonts w:hint="eastAsia" w:ascii="宋体" w:hAnsi="宋体" w:eastAsia="宋体"/>
                <w:b/>
                <w:bCs/>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67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hint="eastAsia" w:ascii="宋体" w:hAnsi="宋体" w:eastAsia="宋体"/>
                <w:sz w:val="18"/>
                <w:szCs w:val="18"/>
              </w:rPr>
              <w:t>1</w:t>
            </w: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hint="eastAsia" w:ascii="宋体" w:hAnsi="宋体" w:eastAsia="宋体"/>
                <w:sz w:val="18"/>
                <w:szCs w:val="18"/>
              </w:rPr>
              <w:t>病房医师</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hint="eastAsia" w:ascii="宋体" w:hAnsi="宋体" w:eastAsia="宋体"/>
                <w:sz w:val="18"/>
                <w:szCs w:val="18"/>
              </w:rPr>
              <w:t>病房医嘱处理</w:t>
            </w:r>
          </w:p>
          <w:p>
            <w:pPr>
              <w:rPr>
                <w:rFonts w:ascii="宋体" w:hAnsi="宋体" w:eastAsia="宋体"/>
                <w:sz w:val="18"/>
                <w:szCs w:val="18"/>
              </w:rPr>
            </w:pPr>
            <w:r>
              <w:rPr>
                <w:rFonts w:hint="eastAsia" w:ascii="宋体" w:hAnsi="宋体" w:eastAsia="宋体"/>
                <w:sz w:val="18"/>
                <w:szCs w:val="18"/>
              </w:rPr>
              <w:t>（基本项）</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hint="eastAsia" w:ascii="宋体" w:hAnsi="宋体" w:eastAsia="宋体"/>
                <w:iCs/>
                <w:sz w:val="18"/>
                <w:szCs w:val="18"/>
              </w:rPr>
              <w:t>按出院病人人次比例计算</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hint="eastAsia" w:ascii="宋体" w:hAnsi="宋体" w:eastAsia="宋体"/>
                <w:iCs/>
                <w:sz w:val="18"/>
                <w:szCs w:val="18"/>
              </w:rPr>
              <w:t>按医嘱记录数据中符合一致性、完整性、整合性、及时性要求数据的比例系数计算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67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ascii="宋体" w:hAnsi="宋体" w:eastAsia="宋体"/>
                <w:sz w:val="18"/>
                <w:szCs w:val="18"/>
              </w:rPr>
              <w:t>……</w:t>
            </w: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ascii="宋体" w:hAnsi="宋体" w:eastAsia="宋体"/>
                <w:sz w:val="18"/>
                <w:szCs w:val="18"/>
              </w:rPr>
              <w:t>……</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ascii="宋体" w:hAnsi="宋体" w:eastAsia="宋体"/>
                <w:sz w:val="18"/>
                <w:szCs w:val="18"/>
              </w:rPr>
              <w: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ascii="宋体" w:hAnsi="宋体" w:eastAsia="宋体"/>
                <w:sz w:val="18"/>
                <w:szCs w:val="18"/>
              </w:rPr>
              <w:t>……</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ascii="宋体" w:hAnsi="宋体" w:eastAsia="宋体"/>
                <w:sz w:val="18"/>
                <w:szCs w:val="18"/>
              </w:rPr>
              <w:t>……</w:t>
            </w:r>
          </w:p>
        </w:tc>
      </w:tr>
    </w:tbl>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3）选择项目完成情况。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考察选择项的目的是保证医疗机构中局部达标的项目数（基本项</w:t>
      </w:r>
      <w:r>
        <w:rPr>
          <w:rFonts w:ascii="宋体" w:hAnsi="宋体" w:eastAsia="宋体"/>
          <w:sz w:val="24"/>
          <w:szCs w:val="24"/>
        </w:rPr>
        <w:t>+选择项）整体上不低于全部项目的2/3。选择项目的有效应用范围不应低于50%，数据质量指数在0.5以上。</w:t>
      </w:r>
    </w:p>
    <w:p>
      <w:pPr>
        <w:spacing w:line="360" w:lineRule="auto"/>
        <w:ind w:firstLine="480" w:firstLineChars="200"/>
        <w:rPr>
          <w:rFonts w:ascii="宋体" w:hAnsi="宋体" w:eastAsia="宋体"/>
          <w:b/>
          <w:color w:val="FF0000"/>
          <w:sz w:val="24"/>
          <w:szCs w:val="24"/>
        </w:rPr>
      </w:pPr>
      <w:r>
        <w:rPr>
          <w:rFonts w:ascii="宋体" w:hAnsi="宋体" w:eastAsia="宋体"/>
          <w:sz w:val="24"/>
          <w:szCs w:val="24"/>
        </w:rPr>
        <w:t>例如，医疗机构电子病历系统达到第4级，则电子病历系统必须在第4等级23个选择项目中，至少有10个选择项目达到或超过4级，</w:t>
      </w:r>
      <w:r>
        <w:rPr>
          <w:rFonts w:ascii="宋体" w:hAnsi="宋体" w:eastAsia="宋体"/>
          <w:b/>
          <w:color w:val="FF0000"/>
          <w:sz w:val="24"/>
          <w:szCs w:val="24"/>
        </w:rPr>
        <w:t>且这10个选择项目评分均必须超过4×0.5×0.5=1分。</w:t>
      </w:r>
    </w:p>
    <w:tbl>
      <w:tblPr>
        <w:tblStyle w:val="4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41"/>
        <w:gridCol w:w="1984"/>
        <w:gridCol w:w="184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trPr>
        <w:tc>
          <w:tcPr>
            <w:tcW w:w="67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
                <w:bCs/>
                <w:sz w:val="18"/>
                <w:szCs w:val="18"/>
              </w:rPr>
            </w:pPr>
            <w:r>
              <w:rPr>
                <w:rFonts w:hint="eastAsia" w:ascii="宋体" w:hAnsi="宋体" w:eastAsia="宋体"/>
                <w:b/>
                <w:bCs/>
                <w:sz w:val="18"/>
                <w:szCs w:val="18"/>
              </w:rPr>
              <w:t>项目序号</w:t>
            </w:r>
          </w:p>
        </w:tc>
        <w:tc>
          <w:tcPr>
            <w:tcW w:w="74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
                <w:bCs/>
                <w:sz w:val="18"/>
                <w:szCs w:val="18"/>
              </w:rPr>
            </w:pPr>
            <w:r>
              <w:rPr>
                <w:rFonts w:hint="eastAsia" w:ascii="宋体" w:hAnsi="宋体" w:eastAsia="宋体"/>
                <w:b/>
                <w:bCs/>
                <w:sz w:val="18"/>
                <w:szCs w:val="18"/>
              </w:rPr>
              <w:t>工作角色</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bCs/>
                <w:sz w:val="18"/>
                <w:szCs w:val="18"/>
              </w:rPr>
            </w:pPr>
            <w:r>
              <w:rPr>
                <w:rFonts w:hint="eastAsia" w:ascii="宋体" w:hAnsi="宋体" w:eastAsia="宋体"/>
                <w:b/>
                <w:bCs/>
                <w:sz w:val="18"/>
                <w:szCs w:val="18"/>
              </w:rPr>
              <w:t>评价项目4级功能</w:t>
            </w:r>
          </w:p>
          <w:p>
            <w:pPr>
              <w:rPr>
                <w:rFonts w:ascii="宋体" w:hAnsi="宋体" w:eastAsia="宋体"/>
                <w:b/>
                <w:bCs/>
                <w:sz w:val="18"/>
                <w:szCs w:val="18"/>
              </w:rPr>
            </w:pPr>
            <w:r>
              <w:rPr>
                <w:rFonts w:hint="eastAsia" w:ascii="宋体" w:hAnsi="宋体" w:eastAsia="宋体"/>
                <w:b/>
                <w:bCs/>
                <w:color w:val="FF0000"/>
                <w:sz w:val="18"/>
                <w:szCs w:val="18"/>
              </w:rPr>
              <w:t>（1</w:t>
            </w:r>
            <w:r>
              <w:rPr>
                <w:rFonts w:ascii="宋体" w:hAnsi="宋体" w:eastAsia="宋体"/>
                <w:b/>
                <w:bCs/>
                <w:color w:val="FF0000"/>
                <w:sz w:val="18"/>
                <w:szCs w:val="18"/>
              </w:rPr>
              <w:t>0</w:t>
            </w:r>
            <w:r>
              <w:rPr>
                <w:rFonts w:hint="eastAsia" w:ascii="宋体" w:hAnsi="宋体" w:eastAsia="宋体"/>
                <w:b/>
                <w:bCs/>
                <w:color w:val="FF0000"/>
                <w:sz w:val="18"/>
                <w:szCs w:val="18"/>
              </w:rPr>
              <w:t>项必须达到4分）</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bCs/>
                <w:sz w:val="18"/>
                <w:szCs w:val="18"/>
              </w:rPr>
            </w:pPr>
            <w:r>
              <w:rPr>
                <w:rFonts w:hint="eastAsia" w:ascii="宋体" w:hAnsi="宋体" w:eastAsia="宋体"/>
                <w:b/>
                <w:bCs/>
                <w:sz w:val="18"/>
                <w:szCs w:val="18"/>
              </w:rPr>
              <w:t>有效应用评价指标</w:t>
            </w:r>
          </w:p>
          <w:p>
            <w:pPr>
              <w:rPr>
                <w:rFonts w:ascii="宋体" w:hAnsi="宋体" w:eastAsia="宋体"/>
                <w:b/>
                <w:bCs/>
                <w:sz w:val="18"/>
                <w:szCs w:val="18"/>
              </w:rPr>
            </w:pPr>
            <w:r>
              <w:rPr>
                <w:rFonts w:hint="eastAsia" w:ascii="宋体" w:hAnsi="宋体" w:eastAsia="宋体"/>
                <w:b/>
                <w:bCs/>
                <w:color w:val="FF0000"/>
                <w:sz w:val="18"/>
                <w:szCs w:val="18"/>
              </w:rPr>
              <w:t>（</w:t>
            </w:r>
            <w:r>
              <w:rPr>
                <w:rFonts w:ascii="宋体" w:hAnsi="宋体" w:eastAsia="宋体"/>
                <w:b/>
                <w:bCs/>
                <w:color w:val="FF0000"/>
                <w:sz w:val="18"/>
                <w:szCs w:val="18"/>
              </w:rPr>
              <w:t>50%以上</w:t>
            </w:r>
            <w:r>
              <w:rPr>
                <w:rFonts w:hint="eastAsia" w:ascii="宋体" w:hAnsi="宋体" w:eastAsia="宋体"/>
                <w:b/>
                <w:bCs/>
                <w:color w:val="FF0000"/>
                <w:sz w:val="18"/>
                <w:szCs w:val="18"/>
              </w:rPr>
              <w:t>）</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bCs/>
                <w:sz w:val="18"/>
                <w:szCs w:val="18"/>
              </w:rPr>
            </w:pPr>
            <w:r>
              <w:rPr>
                <w:rFonts w:hint="eastAsia" w:ascii="宋体" w:hAnsi="宋体" w:eastAsia="宋体"/>
                <w:b/>
                <w:bCs/>
                <w:sz w:val="18"/>
                <w:szCs w:val="18"/>
              </w:rPr>
              <w:t>数据质量评价指标</w:t>
            </w:r>
          </w:p>
          <w:p>
            <w:pPr>
              <w:rPr>
                <w:rFonts w:ascii="宋体" w:hAnsi="宋体" w:eastAsia="宋体"/>
                <w:b/>
                <w:bCs/>
                <w:sz w:val="18"/>
                <w:szCs w:val="18"/>
              </w:rPr>
            </w:pPr>
            <w:r>
              <w:rPr>
                <w:rFonts w:hint="eastAsia" w:ascii="宋体" w:hAnsi="宋体" w:eastAsia="宋体"/>
                <w:b/>
                <w:bCs/>
                <w:color w:val="FF0000"/>
                <w:sz w:val="18"/>
                <w:szCs w:val="18"/>
              </w:rPr>
              <w:t>（</w:t>
            </w:r>
            <w:r>
              <w:rPr>
                <w:rFonts w:ascii="宋体" w:hAnsi="宋体" w:eastAsia="宋体"/>
                <w:b/>
                <w:color w:val="FF0000"/>
                <w:sz w:val="18"/>
                <w:szCs w:val="18"/>
              </w:rPr>
              <w:t>0.5以上</w:t>
            </w:r>
            <w:r>
              <w:rPr>
                <w:rFonts w:hint="eastAsia" w:ascii="宋体" w:hAnsi="宋体" w:eastAsia="宋体"/>
                <w:b/>
                <w:bCs/>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67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hint="eastAsia" w:ascii="宋体" w:hAnsi="宋体" w:eastAsia="宋体"/>
                <w:sz w:val="18"/>
                <w:szCs w:val="18"/>
              </w:rPr>
              <w:t>1</w:t>
            </w: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hint="eastAsia" w:ascii="宋体" w:hAnsi="宋体" w:eastAsia="宋体"/>
                <w:sz w:val="18"/>
                <w:szCs w:val="18"/>
              </w:rPr>
              <w:t>病房医师</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hint="eastAsia" w:ascii="宋体" w:hAnsi="宋体" w:eastAsia="宋体"/>
                <w:sz w:val="18"/>
                <w:szCs w:val="18"/>
              </w:rPr>
              <w:t>病房医嘱处理</w:t>
            </w:r>
          </w:p>
          <w:p>
            <w:pPr>
              <w:rPr>
                <w:rFonts w:ascii="宋体" w:hAnsi="宋体" w:eastAsia="宋体"/>
                <w:sz w:val="18"/>
                <w:szCs w:val="18"/>
              </w:rPr>
            </w:pPr>
            <w:r>
              <w:rPr>
                <w:rFonts w:hint="eastAsia" w:ascii="宋体" w:hAnsi="宋体" w:eastAsia="宋体"/>
                <w:sz w:val="18"/>
                <w:szCs w:val="18"/>
              </w:rPr>
              <w:t>（选择项）</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hint="eastAsia" w:ascii="宋体" w:hAnsi="宋体" w:eastAsia="宋体"/>
                <w:iCs/>
                <w:sz w:val="18"/>
                <w:szCs w:val="18"/>
              </w:rPr>
              <w:t>按出院病人人次比例计算</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hint="eastAsia" w:ascii="宋体" w:hAnsi="宋体" w:eastAsia="宋体"/>
                <w:iCs/>
                <w:sz w:val="18"/>
                <w:szCs w:val="18"/>
              </w:rPr>
              <w:t>按医嘱记录数据中符合一致性、完整性、整合性、及时性要求数据的比例系数计算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67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ascii="宋体" w:hAnsi="宋体" w:eastAsia="宋体"/>
                <w:sz w:val="18"/>
                <w:szCs w:val="18"/>
              </w:rPr>
              <w:t>……</w:t>
            </w: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ascii="宋体" w:hAnsi="宋体" w:eastAsia="宋体"/>
                <w:sz w:val="18"/>
                <w:szCs w:val="18"/>
              </w:rPr>
              <w:t>……</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ascii="宋体" w:hAnsi="宋体" w:eastAsia="宋体"/>
                <w:sz w:val="18"/>
                <w:szCs w:val="18"/>
              </w:rPr>
              <w: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ascii="宋体" w:hAnsi="宋体" w:eastAsia="宋体"/>
                <w:sz w:val="18"/>
                <w:szCs w:val="18"/>
              </w:rPr>
              <w:t>……</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ascii="宋体" w:hAnsi="宋体" w:eastAsia="宋体"/>
                <w:sz w:val="18"/>
                <w:szCs w:val="18"/>
              </w:rPr>
              <w:t>……</w:t>
            </w:r>
          </w:p>
        </w:tc>
      </w:tr>
    </w:tbl>
    <w:p>
      <w:pPr>
        <w:spacing w:line="360" w:lineRule="auto"/>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sectPr>
          <w:pgSz w:w="11906" w:h="16838"/>
          <w:pgMar w:top="1440" w:right="1800" w:bottom="1440" w:left="1800" w:header="851" w:footer="992" w:gutter="0"/>
          <w:cols w:space="425" w:num="1"/>
          <w:docGrid w:type="lines" w:linePitch="312" w:charSpace="0"/>
        </w:sectPr>
      </w:pPr>
    </w:p>
    <w:p>
      <w:pPr>
        <w:pStyle w:val="3"/>
      </w:pPr>
      <w:bookmarkStart w:id="8" w:name="_Toc34409940"/>
      <w:bookmarkStart w:id="9" w:name="_Toc9480"/>
      <w:r>
        <w:rPr>
          <w:rFonts w:hint="eastAsia"/>
        </w:rPr>
        <w:t>对标评估</w:t>
      </w:r>
      <w:bookmarkEnd w:id="8"/>
      <w:bookmarkEnd w:id="9"/>
    </w:p>
    <w:p>
      <w:pPr>
        <w:spacing w:line="360" w:lineRule="auto"/>
        <w:ind w:firstLine="420" w:firstLineChars="200"/>
        <w:rPr>
          <w:rFonts w:ascii="宋体" w:hAnsi="宋体" w:eastAsia="宋体"/>
          <w:sz w:val="24"/>
          <w:szCs w:val="24"/>
        </w:rPr>
      </w:pPr>
      <w:r>
        <w:rPr>
          <w:rFonts w:hint="eastAsia"/>
        </w:rPr>
        <w:t xml:space="preserve"> </w:t>
      </w:r>
      <w:r>
        <w:rPr>
          <w:rFonts w:hint="eastAsia" w:ascii="宋体" w:hAnsi="宋体" w:eastAsia="宋体"/>
          <w:sz w:val="24"/>
          <w:szCs w:val="24"/>
        </w:rPr>
        <w:t>通过对电子病历系统应用水平分级评价管理办法的梳理可知</w:t>
      </w:r>
      <w:r>
        <w:rPr>
          <w:rFonts w:hint="eastAsia" w:ascii="宋体" w:hAnsi="宋体" w:eastAsia="宋体"/>
          <w:b/>
          <w:sz w:val="24"/>
          <w:szCs w:val="24"/>
        </w:rPr>
        <w:t>，</w:t>
      </w:r>
      <w:r>
        <w:rPr>
          <w:rFonts w:hint="eastAsia" w:ascii="宋体" w:hAnsi="宋体" w:eastAsia="宋体"/>
          <w:sz w:val="24"/>
          <w:szCs w:val="24"/>
        </w:rPr>
        <w:t>4级水平1</w:t>
      </w:r>
      <w:r>
        <w:rPr>
          <w:rFonts w:ascii="宋体" w:hAnsi="宋体" w:eastAsia="宋体"/>
          <w:sz w:val="24"/>
          <w:szCs w:val="24"/>
        </w:rPr>
        <w:t>4</w:t>
      </w:r>
      <w:r>
        <w:rPr>
          <w:rFonts w:hint="eastAsia" w:ascii="宋体" w:hAnsi="宋体" w:eastAsia="宋体"/>
          <w:sz w:val="24"/>
          <w:szCs w:val="24"/>
        </w:rPr>
        <w:t>项基本项功能必须按照评级标准全部完成，2</w:t>
      </w:r>
      <w:r>
        <w:rPr>
          <w:rFonts w:ascii="宋体" w:hAnsi="宋体" w:eastAsia="宋体"/>
          <w:sz w:val="24"/>
          <w:szCs w:val="24"/>
        </w:rPr>
        <w:t>3</w:t>
      </w:r>
      <w:r>
        <w:rPr>
          <w:rFonts w:hint="eastAsia" w:ascii="宋体" w:hAnsi="宋体" w:eastAsia="宋体"/>
          <w:sz w:val="24"/>
          <w:szCs w:val="24"/>
        </w:rPr>
        <w:t>项选择虽然4级评级标准只要求完成其中的1</w:t>
      </w:r>
      <w:r>
        <w:rPr>
          <w:rFonts w:ascii="宋体" w:hAnsi="宋体" w:eastAsia="宋体"/>
          <w:sz w:val="24"/>
          <w:szCs w:val="24"/>
        </w:rPr>
        <w:t>0</w:t>
      </w:r>
      <w:r>
        <w:rPr>
          <w:rFonts w:hint="eastAsia" w:ascii="宋体" w:hAnsi="宋体" w:eastAsia="宋体"/>
          <w:sz w:val="24"/>
          <w:szCs w:val="24"/>
        </w:rPr>
        <w:t>项，但是为了保证电子病历系统应用水平4级测评的顺利通过，建议</w:t>
      </w:r>
      <w:r>
        <w:rPr>
          <w:rFonts w:ascii="宋体" w:hAnsi="宋体" w:eastAsia="宋体"/>
          <w:sz w:val="24"/>
          <w:szCs w:val="24"/>
        </w:rPr>
        <w:t>4</w:t>
      </w:r>
      <w:r>
        <w:rPr>
          <w:rFonts w:hint="eastAsia" w:ascii="宋体" w:hAnsi="宋体" w:eastAsia="宋体"/>
          <w:sz w:val="24"/>
          <w:szCs w:val="24"/>
        </w:rPr>
        <w:t>级水平的2</w:t>
      </w:r>
      <w:r>
        <w:rPr>
          <w:rFonts w:ascii="宋体" w:hAnsi="宋体" w:eastAsia="宋体"/>
          <w:sz w:val="24"/>
          <w:szCs w:val="24"/>
        </w:rPr>
        <w:t>3</w:t>
      </w:r>
      <w:r>
        <w:rPr>
          <w:rFonts w:hint="eastAsia" w:ascii="宋体" w:hAnsi="宋体" w:eastAsia="宋体"/>
          <w:sz w:val="24"/>
          <w:szCs w:val="24"/>
        </w:rPr>
        <w:t>项选择项全部按照评级标准要求去完成对应功能建设。另外，建议再选择部分对医院实际情况更具针对性，更具功能实现基础的5级评级功能选项进行建设，为电子病历系统应用水平4级测评的顺利通过增加保障。</w:t>
      </w:r>
    </w:p>
    <w:p>
      <w:pPr>
        <w:spacing w:line="360" w:lineRule="auto"/>
        <w:ind w:firstLine="480" w:firstLineChars="200"/>
      </w:pPr>
      <w:r>
        <w:rPr>
          <w:rFonts w:hint="eastAsia" w:ascii="宋体" w:hAnsi="宋体" w:eastAsia="宋体"/>
          <w:sz w:val="24"/>
          <w:szCs w:val="24"/>
        </w:rPr>
        <w:t>电子病历系统4级应用水平</w:t>
      </w:r>
      <w:r>
        <w:rPr>
          <w:rFonts w:ascii="宋体" w:hAnsi="宋体" w:eastAsia="宋体"/>
          <w:sz w:val="24"/>
          <w:szCs w:val="24"/>
        </w:rPr>
        <w:t>的建设功能</w:t>
      </w:r>
      <w:r>
        <w:rPr>
          <w:rFonts w:hint="eastAsia" w:ascii="宋体" w:hAnsi="宋体" w:eastAsia="宋体"/>
          <w:sz w:val="24"/>
          <w:szCs w:val="24"/>
        </w:rPr>
        <w:t>，按要求</w:t>
      </w:r>
      <w:r>
        <w:rPr>
          <w:rFonts w:ascii="宋体" w:hAnsi="宋体" w:eastAsia="宋体"/>
          <w:sz w:val="24"/>
          <w:szCs w:val="24"/>
        </w:rPr>
        <w:t>应当向前</w:t>
      </w:r>
      <w:r>
        <w:rPr>
          <w:rFonts w:hint="eastAsia" w:ascii="宋体" w:hAnsi="宋体" w:eastAsia="宋体"/>
          <w:sz w:val="24"/>
          <w:szCs w:val="24"/>
        </w:rPr>
        <w:t>兼容检查是否已经满足</w:t>
      </w:r>
      <w:r>
        <w:rPr>
          <w:rFonts w:ascii="宋体" w:hAnsi="宋体" w:eastAsia="宋体"/>
          <w:sz w:val="24"/>
          <w:szCs w:val="24"/>
        </w:rPr>
        <w:t>3级</w:t>
      </w:r>
      <w:r>
        <w:rPr>
          <w:rFonts w:hint="eastAsia" w:ascii="宋体" w:hAnsi="宋体" w:eastAsia="宋体"/>
          <w:sz w:val="24"/>
          <w:szCs w:val="24"/>
        </w:rPr>
        <w:t>功能要求</w:t>
      </w:r>
      <w:r>
        <w:rPr>
          <w:rFonts w:ascii="宋体" w:hAnsi="宋体" w:eastAsia="宋体"/>
          <w:sz w:val="24"/>
          <w:szCs w:val="24"/>
        </w:rPr>
        <w:t>、向后</w:t>
      </w:r>
      <w:r>
        <w:rPr>
          <w:rFonts w:hint="eastAsia" w:ascii="宋体" w:hAnsi="宋体" w:eastAsia="宋体"/>
          <w:sz w:val="24"/>
          <w:szCs w:val="24"/>
        </w:rPr>
        <w:t>要</w:t>
      </w:r>
      <w:r>
        <w:rPr>
          <w:rFonts w:ascii="宋体" w:hAnsi="宋体" w:eastAsia="宋体"/>
          <w:sz w:val="24"/>
          <w:szCs w:val="24"/>
        </w:rPr>
        <w:t>兼顾5级功能</w:t>
      </w:r>
      <w:r>
        <w:rPr>
          <w:rFonts w:hint="eastAsia" w:ascii="宋体" w:hAnsi="宋体" w:eastAsia="宋体"/>
          <w:sz w:val="24"/>
          <w:szCs w:val="24"/>
        </w:rPr>
        <w:t>建设</w:t>
      </w:r>
      <w:r>
        <w:rPr>
          <w:rFonts w:ascii="宋体" w:hAnsi="宋体" w:eastAsia="宋体"/>
          <w:sz w:val="24"/>
          <w:szCs w:val="24"/>
        </w:rPr>
        <w:t>的发展，</w:t>
      </w:r>
      <w:r>
        <w:rPr>
          <w:rFonts w:hint="eastAsia" w:ascii="宋体" w:hAnsi="宋体" w:eastAsia="宋体"/>
          <w:sz w:val="24"/>
          <w:szCs w:val="24"/>
        </w:rPr>
        <w:t>同时，</w:t>
      </w:r>
      <w:r>
        <w:rPr>
          <w:rFonts w:ascii="宋体" w:hAnsi="宋体" w:eastAsia="宋体"/>
          <w:sz w:val="24"/>
          <w:szCs w:val="24"/>
        </w:rPr>
        <w:t>门诊和住院能够实现的功能要一致，因为电子病历系统是一个数据库同一套系统，门诊能够实现的功能，住院一定也要能够实现；</w:t>
      </w:r>
      <w:r>
        <w:rPr>
          <w:rFonts w:hint="eastAsia" w:ascii="宋体" w:hAnsi="宋体" w:eastAsia="宋体"/>
          <w:sz w:val="24"/>
          <w:szCs w:val="24"/>
        </w:rPr>
        <w:t>建成之后，省级</w:t>
      </w:r>
      <w:r>
        <w:rPr>
          <w:rFonts w:ascii="宋体" w:hAnsi="宋体" w:eastAsia="宋体"/>
          <w:sz w:val="24"/>
          <w:szCs w:val="24"/>
        </w:rPr>
        <w:t>专家</w:t>
      </w:r>
      <w:r>
        <w:rPr>
          <w:rFonts w:hint="eastAsia" w:ascii="宋体" w:hAnsi="宋体" w:eastAsia="宋体"/>
          <w:sz w:val="24"/>
          <w:szCs w:val="24"/>
        </w:rPr>
        <w:t>还会在评审现场来协助验证贵医院的信息化功能上是否达标</w:t>
      </w:r>
      <w:r>
        <w:rPr>
          <w:rFonts w:ascii="宋体" w:hAnsi="宋体" w:eastAsia="宋体"/>
          <w:sz w:val="24"/>
          <w:szCs w:val="24"/>
        </w:rPr>
        <w:t>，</w:t>
      </w:r>
      <w:r>
        <w:rPr>
          <w:rFonts w:hint="eastAsia" w:ascii="宋体" w:hAnsi="宋体" w:eastAsia="宋体"/>
          <w:sz w:val="24"/>
          <w:szCs w:val="24"/>
        </w:rPr>
        <w:t>只有做到整体规划，分步实施，</w:t>
      </w:r>
      <w:r>
        <w:rPr>
          <w:rFonts w:ascii="宋体" w:hAnsi="宋体" w:eastAsia="宋体"/>
          <w:sz w:val="24"/>
          <w:szCs w:val="24"/>
        </w:rPr>
        <w:t>方能</w:t>
      </w:r>
      <w:r>
        <w:rPr>
          <w:rFonts w:hint="eastAsia" w:ascii="宋体" w:hAnsi="宋体" w:eastAsia="宋体"/>
          <w:sz w:val="24"/>
          <w:szCs w:val="24"/>
        </w:rPr>
        <w:t>确保贵院信息化建设在电子病历分级建设当中顺利达标，同时达到真正提升医院医疗质量管理、患者安全管理、信息安全管理的三大目标</w:t>
      </w:r>
      <w:r>
        <w:rPr>
          <w:rFonts w:ascii="宋体" w:hAnsi="宋体" w:eastAsia="宋体"/>
          <w:sz w:val="24"/>
          <w:szCs w:val="24"/>
        </w:rPr>
        <w:t>。</w:t>
      </w:r>
    </w:p>
    <w:p>
      <w:pPr>
        <w:spacing w:line="360" w:lineRule="auto"/>
        <w:ind w:firstLine="480" w:firstLineChars="200"/>
        <w:rPr>
          <w:rFonts w:ascii="宋体" w:hAnsi="宋体" w:eastAsia="宋体"/>
          <w:b/>
          <w:sz w:val="24"/>
          <w:szCs w:val="24"/>
        </w:rPr>
      </w:pPr>
      <w:r>
        <w:rPr>
          <w:rFonts w:hint="eastAsia" w:ascii="宋体" w:hAnsi="宋体" w:eastAsia="宋体"/>
          <w:sz w:val="24"/>
          <w:szCs w:val="24"/>
        </w:rPr>
        <w:t>易联众公司根据贵院提供的上一年度电子病历系统应用水平分级分级评估自评报告以及结合医院实际信息化应用水平对当前医院各个业务系统按照电子病历系统应用水平3级、4级、5级标准对福建省老年医院目前已有系统和需要新增建设的系统逐一进行对照评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具体评估结果如下所示：</w:t>
      </w:r>
    </w:p>
    <w:p>
      <w:pPr>
        <w:pStyle w:val="4"/>
      </w:pPr>
      <w:bookmarkStart w:id="10" w:name="_Toc34409941"/>
      <w:bookmarkStart w:id="11" w:name="_Toc21192"/>
      <w:r>
        <w:rPr>
          <w:rFonts w:hint="eastAsia"/>
        </w:rPr>
        <w:t>现有系统对标评估</w:t>
      </w:r>
      <w:bookmarkEnd w:id="10"/>
      <w:bookmarkEnd w:id="11"/>
    </w:p>
    <w:p>
      <w:pPr>
        <w:pStyle w:val="5"/>
      </w:pPr>
      <w:r>
        <w:rPr>
          <w:rFonts w:hint="eastAsia"/>
        </w:rPr>
        <w:t>病房医师-住院医生工作站</w:t>
      </w:r>
    </w:p>
    <w:p>
      <w:pPr>
        <w:spacing w:line="360" w:lineRule="auto"/>
        <w:ind w:firstLine="432"/>
        <w:rPr>
          <w:rFonts w:ascii="宋体" w:hAnsi="宋体" w:eastAsia="宋体"/>
          <w:sz w:val="24"/>
          <w:szCs w:val="24"/>
        </w:rPr>
      </w:pPr>
      <w:r>
        <w:rPr>
          <w:rFonts w:hint="eastAsia" w:ascii="宋体" w:hAnsi="宋体" w:eastAsia="宋体"/>
          <w:sz w:val="24"/>
          <w:szCs w:val="24"/>
        </w:rPr>
        <w:t>如下表所示按照电子病历系统应用水平3级、4级、5级标准要求，现行住院医生工作站基本已经达到了电子病历系统4级应用水平，只有少数零星功能项需要进一步完善，如在病房检验申请、病房检验报告、病房检查申请、病房检查报告各有</w:t>
      </w:r>
      <w:r>
        <w:rPr>
          <w:rFonts w:ascii="宋体" w:hAnsi="宋体" w:eastAsia="宋体"/>
          <w:sz w:val="24"/>
          <w:szCs w:val="24"/>
        </w:rPr>
        <w:t>1</w:t>
      </w:r>
      <w:r>
        <w:rPr>
          <w:rFonts w:hint="eastAsia" w:ascii="宋体" w:hAnsi="宋体" w:eastAsia="宋体"/>
          <w:sz w:val="24"/>
          <w:szCs w:val="24"/>
        </w:rPr>
        <w:t>项功能点还需要完善建设，此外根据贵院目前信息化建设基础的实际情况，建议进一步完善5级检验检查危急值提醒功能选项，以保障电子病历系统应用水平4级测评的顺利通过。</w:t>
      </w:r>
    </w:p>
    <w:tbl>
      <w:tblPr>
        <w:tblStyle w:val="47"/>
        <w:tblW w:w="48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010"/>
        <w:gridCol w:w="6482"/>
        <w:gridCol w:w="720"/>
        <w:gridCol w:w="720"/>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7"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业务项目</w:t>
            </w:r>
          </w:p>
        </w:tc>
        <w:tc>
          <w:tcPr>
            <w:tcW w:w="369"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评价</w:t>
            </w:r>
          </w:p>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类别</w:t>
            </w:r>
          </w:p>
        </w:tc>
        <w:tc>
          <w:tcPr>
            <w:tcW w:w="2368"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主要评价内容</w:t>
            </w:r>
          </w:p>
        </w:tc>
        <w:tc>
          <w:tcPr>
            <w:tcW w:w="263"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w:t>
            </w:r>
          </w:p>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评分</w:t>
            </w:r>
          </w:p>
        </w:tc>
        <w:tc>
          <w:tcPr>
            <w:tcW w:w="263"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是否</w:t>
            </w:r>
          </w:p>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满足</w:t>
            </w:r>
          </w:p>
        </w:tc>
        <w:tc>
          <w:tcPr>
            <w:tcW w:w="1158"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如何实现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病房医嘱处理</w:t>
            </w: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）医嘱通过网络同时供护士、药剂等业务使用</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）能够获得药剂科的药品可供情况</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）具有全院统一的医嘱项目字典</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）医嘱下达时能获得药品剂型、剂量，或检查检验项目中至少</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类依据字典规则进行的核查与提示</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合理用药系统支持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）医嘱中的药品、检验、检查等信息可传送到对应的执行科室</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）医嘱下达时能关联项目获得药物知识，如提供药物说明查询功能等</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合理用药系统支持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病房检验申请</w:t>
            </w: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）检验申请能以电子化方式传送给检验科室</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tcBorders>
              <w:bottom w:val="single" w:color="auto" w:sz="4" w:space="0"/>
            </w:tcBorders>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）检验标本种类信息在申请中同时记录</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36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）下达申请时可获得检验项目和标本信息，如适应症、采集要求、作用等</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需要采购知识库，辅助完成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）检验项目来自全院统一检验项目字典</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368" w:type="pct"/>
            <w:shd w:val="clear" w:color="auto" w:fill="auto"/>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）检验申请数据有全院统一管理机制</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）有全院统一的检验标本字典并在申请中使用</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）开写检验申请时，可以浏览病人重要病历信息；</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病房检验报告</w:t>
            </w: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能通过界面集成等方式查阅检验科室的检验报告</w:t>
            </w:r>
          </w:p>
        </w:tc>
        <w:tc>
          <w:tcPr>
            <w:tcW w:w="263" w:type="pc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）可获得检验科室报告数据</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）医师工作站中可查阅历史检验结果</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）查阅检验报告时能够给出结果参考范围及结果异常标记</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）查看检验报告时，可获得项目说明</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需要采购知识库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5</w:t>
            </w:r>
            <w:r>
              <w:rPr>
                <w:rFonts w:ascii="宋体" w:hAnsi="宋体" w:eastAsia="宋体" w:cs="宋体"/>
                <w:color w:val="000000"/>
                <w:kern w:val="0"/>
                <w:sz w:val="18"/>
                <w:szCs w:val="18"/>
              </w:rPr>
              <w:t>）检验报告与申请单可进行关联对应</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）检验报告来自全院统一医疗数据管理体系</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）查阅报告时，对于多正常参考值的项目能够根据检验结果和诊断、性别、生理周期等自动给出正常结果的判断与提示</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）可根据历史检验结果绘制趋势图</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shd w:val="clear" w:color="auto" w:fill="FBE4D5" w:themeFill="accent2" w:themeFillTint="33"/>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）对于危急检验结果，医师、护士能够在系统中看到</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提供检验危急值提醒功能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5</w:t>
            </w:r>
            <w:r>
              <w:rPr>
                <w:rFonts w:ascii="宋体" w:hAnsi="宋体" w:eastAsia="宋体" w:cs="宋体"/>
                <w:color w:val="000000"/>
                <w:kern w:val="0"/>
                <w:sz w:val="18"/>
                <w:szCs w:val="18"/>
              </w:rPr>
              <w:t>）浏览检验报告时，可以浏览病人重要病历信息；</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病房检查申请</w:t>
            </w: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）检查申请能以电子化方式传送给医技科室</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）申请时能够提示所需准备工作等内容</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36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）下达申请时可获得检查项目信息，如适应症、作用、注意事项等</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需要采购知识库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）申请能实时传送到医技科室</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）检查项目来自全院统一字典</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）检查申请数据记录在统一管理机制中</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）开写检查申请时，可以浏览病人重要病历信息；</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7" w:type="pc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病房检查报告</w:t>
            </w: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能通过调用检查科室系统或界面集成方式查阅医技科室的检查报告和图像</w:t>
            </w:r>
          </w:p>
        </w:tc>
        <w:tc>
          <w:tcPr>
            <w:tcW w:w="263" w:type="pc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）能在医师工作站查阅检查报告和图像</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）查看检查报告时，能够按照项目查看说明等</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需要采购知识库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）检查报告与申请单可进行关联对应</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）检查报告来自全院统一医疗数据管理体系</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）查阅报告时，能够显示测量结果，对于有正常参考值的项目能显示参考范围及自动产生异常标记</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Align w:val="center"/>
          </w:tcPr>
          <w:p>
            <w:pPr>
              <w:widowControl/>
              <w:spacing w:line="360" w:lineRule="auto"/>
              <w:rPr>
                <w:rFonts w:ascii="宋体" w:hAnsi="宋体" w:eastAsia="宋体" w:cs="宋体"/>
                <w:b/>
                <w:color w:val="000000"/>
                <w:kern w:val="0"/>
                <w:sz w:val="18"/>
                <w:szCs w:val="18"/>
              </w:rPr>
            </w:pPr>
          </w:p>
        </w:tc>
        <w:tc>
          <w:tcPr>
            <w:tcW w:w="369" w:type="pct"/>
            <w:vAlign w:val="center"/>
          </w:tcPr>
          <w:p>
            <w:pPr>
              <w:widowControl/>
              <w:spacing w:line="360" w:lineRule="auto"/>
              <w:rPr>
                <w:rFonts w:ascii="宋体" w:hAnsi="宋体" w:eastAsia="宋体" w:cs="宋体"/>
                <w:color w:val="000000"/>
                <w:kern w:val="0"/>
                <w:sz w:val="18"/>
                <w:szCs w:val="18"/>
              </w:rPr>
            </w:pPr>
          </w:p>
        </w:tc>
        <w:tc>
          <w:tcPr>
            <w:tcW w:w="2368" w:type="pct"/>
            <w:shd w:val="clear" w:color="auto" w:fill="FBE4D5" w:themeFill="accent2" w:themeFillTint="33"/>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）对于检查危急值，医师、护士在能够系统中看到</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提供检查危急值提醒功能</w:t>
            </w:r>
          </w:p>
        </w:tc>
      </w:tr>
    </w:tbl>
    <w:p>
      <w:pPr>
        <w:pStyle w:val="5"/>
      </w:pPr>
      <w:r>
        <w:rPr>
          <w:rFonts w:hint="eastAsia"/>
        </w:rPr>
        <w:t>病房护士-住院护士工作站</w:t>
      </w:r>
    </w:p>
    <w:p>
      <w:pPr>
        <w:spacing w:line="360" w:lineRule="auto"/>
        <w:ind w:firstLine="432"/>
        <w:rPr>
          <w:rFonts w:ascii="宋体" w:hAnsi="宋体" w:eastAsia="宋体"/>
          <w:sz w:val="24"/>
          <w:szCs w:val="24"/>
        </w:rPr>
      </w:pPr>
      <w:r>
        <w:rPr>
          <w:rFonts w:hint="eastAsia" w:ascii="宋体" w:hAnsi="宋体" w:eastAsia="宋体"/>
          <w:sz w:val="24"/>
          <w:szCs w:val="24"/>
        </w:rPr>
        <w:t>如下表所示按照电子病历系统应用水平3级、4级、5级标准要求，现行住院护士工作站在病人管理与评估、医嘱执行、护理记录上各有部分项功能点还需要完善建设，根据医院目前已有移动护理系统的实际情况，建议进一步完善5级功能选项中患者生命体征、护理处置、护理记录自动导入相应记录单的功能，以保障电子病历系统应用水平4级测评的顺利通过。</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09"/>
        <w:gridCol w:w="5670"/>
        <w:gridCol w:w="709"/>
        <w:gridCol w:w="708"/>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38" w:type="dxa"/>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业务项目</w:t>
            </w:r>
          </w:p>
        </w:tc>
        <w:tc>
          <w:tcPr>
            <w:tcW w:w="709" w:type="dxa"/>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评价类别</w:t>
            </w:r>
          </w:p>
        </w:tc>
        <w:tc>
          <w:tcPr>
            <w:tcW w:w="5670" w:type="dxa"/>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系统功能评价内容</w:t>
            </w:r>
          </w:p>
        </w:tc>
        <w:tc>
          <w:tcPr>
            <w:tcW w:w="709" w:type="dxa"/>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功能评分</w:t>
            </w:r>
          </w:p>
        </w:tc>
        <w:tc>
          <w:tcPr>
            <w:tcW w:w="708" w:type="dxa"/>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是否满足</w:t>
            </w:r>
          </w:p>
        </w:tc>
        <w:tc>
          <w:tcPr>
            <w:tcW w:w="4314" w:type="dxa"/>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如何实现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38" w:type="dxa"/>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病人管理与评估</w:t>
            </w:r>
          </w:p>
        </w:tc>
        <w:tc>
          <w:tcPr>
            <w:tcW w:w="709" w:type="dxa"/>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5670" w:type="dxa"/>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）从住院登记处接收病人基本信息，输入入院评估记录</w:t>
            </w:r>
          </w:p>
        </w:tc>
        <w:tc>
          <w:tcPr>
            <w:tcW w:w="709" w:type="dxa"/>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新增入院评估记录模块，医院有采购移动护理系统,需要移动护理系统实现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Align w:val="center"/>
          </w:tcPr>
          <w:p>
            <w:pPr>
              <w:widowControl/>
              <w:spacing w:line="360" w:lineRule="auto"/>
              <w:rPr>
                <w:rFonts w:ascii="宋体" w:hAnsi="宋体" w:eastAsia="宋体" w:cs="宋体"/>
                <w:b/>
                <w:color w:val="000000"/>
                <w:kern w:val="0"/>
                <w:sz w:val="18"/>
                <w:szCs w:val="18"/>
              </w:rPr>
            </w:pPr>
          </w:p>
        </w:tc>
        <w:tc>
          <w:tcPr>
            <w:tcW w:w="709" w:type="dxa"/>
            <w:vAlign w:val="center"/>
          </w:tcPr>
          <w:p>
            <w:pPr>
              <w:widowControl/>
              <w:spacing w:line="360" w:lineRule="auto"/>
              <w:rPr>
                <w:rFonts w:ascii="宋体" w:hAnsi="宋体" w:eastAsia="宋体" w:cs="宋体"/>
                <w:color w:val="000000"/>
                <w:kern w:val="0"/>
                <w:sz w:val="18"/>
                <w:szCs w:val="18"/>
              </w:rPr>
            </w:pP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）床位、病情信息、病历资料供其他部门共享</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Align w:val="center"/>
          </w:tcPr>
          <w:p>
            <w:pPr>
              <w:widowControl/>
              <w:spacing w:line="360" w:lineRule="auto"/>
              <w:rPr>
                <w:rFonts w:ascii="宋体" w:hAnsi="宋体" w:eastAsia="宋体" w:cs="宋体"/>
                <w:b/>
                <w:color w:val="000000"/>
                <w:kern w:val="0"/>
                <w:sz w:val="18"/>
                <w:szCs w:val="18"/>
              </w:rPr>
            </w:pPr>
          </w:p>
        </w:tc>
        <w:tc>
          <w:tcPr>
            <w:tcW w:w="709" w:type="dxa"/>
            <w:vAlign w:val="center"/>
          </w:tcPr>
          <w:p>
            <w:pPr>
              <w:widowControl/>
              <w:spacing w:line="360" w:lineRule="auto"/>
              <w:rPr>
                <w:rFonts w:ascii="宋体" w:hAnsi="宋体" w:eastAsia="宋体" w:cs="宋体"/>
                <w:color w:val="000000"/>
                <w:kern w:val="0"/>
                <w:sz w:val="18"/>
                <w:szCs w:val="18"/>
              </w:rPr>
            </w:pP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）转科或出院的出科信息在系统中处理</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38" w:type="dxa"/>
            <w:vAlign w:val="center"/>
          </w:tcPr>
          <w:p>
            <w:pPr>
              <w:widowControl/>
              <w:spacing w:line="360" w:lineRule="auto"/>
              <w:rPr>
                <w:rFonts w:ascii="宋体" w:hAnsi="宋体" w:eastAsia="宋体" w:cs="宋体"/>
                <w:b/>
                <w:color w:val="000000"/>
                <w:kern w:val="0"/>
                <w:sz w:val="18"/>
                <w:szCs w:val="18"/>
              </w:rPr>
            </w:pPr>
          </w:p>
        </w:tc>
        <w:tc>
          <w:tcPr>
            <w:tcW w:w="709" w:type="dxa"/>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）病人入、出院、转科记录，与住院、医师站中的病人基本信息衔接。</w:t>
            </w:r>
          </w:p>
        </w:tc>
        <w:tc>
          <w:tcPr>
            <w:tcW w:w="709" w:type="dxa"/>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38" w:type="dxa"/>
            <w:vAlign w:val="center"/>
          </w:tcPr>
          <w:p>
            <w:pPr>
              <w:widowControl/>
              <w:spacing w:line="360" w:lineRule="auto"/>
              <w:rPr>
                <w:rFonts w:ascii="宋体" w:hAnsi="宋体" w:eastAsia="宋体" w:cs="宋体"/>
                <w:b/>
                <w:color w:val="000000"/>
                <w:kern w:val="0"/>
                <w:sz w:val="18"/>
                <w:szCs w:val="18"/>
              </w:rPr>
            </w:pPr>
          </w:p>
        </w:tc>
        <w:tc>
          <w:tcPr>
            <w:tcW w:w="709" w:type="dxa"/>
            <w:vAlign w:val="center"/>
          </w:tcPr>
          <w:p>
            <w:pPr>
              <w:widowControl/>
              <w:spacing w:line="360" w:lineRule="auto"/>
              <w:rPr>
                <w:rFonts w:ascii="宋体" w:hAnsi="宋体" w:eastAsia="宋体" w:cs="宋体"/>
                <w:color w:val="000000"/>
                <w:kern w:val="0"/>
                <w:sz w:val="18"/>
                <w:szCs w:val="18"/>
              </w:rPr>
            </w:pPr>
          </w:p>
        </w:tc>
        <w:tc>
          <w:tcPr>
            <w:tcW w:w="5670" w:type="dxa"/>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）可提示入科的基本处理流程或有可定义的入科处理模版提醒帮助护士完成常规的处理</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医院有采购移动护理系统,需要移动护理系统实现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Align w:val="center"/>
          </w:tcPr>
          <w:p>
            <w:pPr>
              <w:widowControl/>
              <w:spacing w:line="360" w:lineRule="auto"/>
              <w:rPr>
                <w:rFonts w:ascii="宋体" w:hAnsi="宋体" w:eastAsia="宋体" w:cs="宋体"/>
                <w:b/>
                <w:color w:val="000000"/>
                <w:kern w:val="0"/>
                <w:sz w:val="18"/>
                <w:szCs w:val="18"/>
              </w:rPr>
            </w:pPr>
          </w:p>
        </w:tc>
        <w:tc>
          <w:tcPr>
            <w:tcW w:w="709" w:type="dxa"/>
            <w:vAlign w:val="center"/>
          </w:tcPr>
          <w:p>
            <w:pPr>
              <w:widowControl/>
              <w:spacing w:line="360" w:lineRule="auto"/>
              <w:rPr>
                <w:rFonts w:ascii="宋体" w:hAnsi="宋体" w:eastAsia="宋体" w:cs="宋体"/>
                <w:color w:val="000000"/>
                <w:kern w:val="0"/>
                <w:sz w:val="18"/>
                <w:szCs w:val="18"/>
              </w:rPr>
            </w:pPr>
          </w:p>
        </w:tc>
        <w:tc>
          <w:tcPr>
            <w:tcW w:w="5670" w:type="dxa"/>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）护理级别在系统中有明确显示</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功能改造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38" w:type="dxa"/>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医嘱执行</w:t>
            </w:r>
          </w:p>
        </w:tc>
        <w:tc>
          <w:tcPr>
            <w:tcW w:w="709" w:type="dxa"/>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）每次的用药医嘱数据能与药剂科共享用于药品准备</w:t>
            </w:r>
          </w:p>
        </w:tc>
        <w:tc>
          <w:tcPr>
            <w:tcW w:w="709" w:type="dxa"/>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Align w:val="center"/>
          </w:tcPr>
          <w:p>
            <w:pPr>
              <w:widowControl/>
              <w:spacing w:line="360" w:lineRule="auto"/>
              <w:rPr>
                <w:rFonts w:ascii="宋体" w:hAnsi="宋体" w:eastAsia="宋体" w:cs="宋体"/>
                <w:b/>
                <w:color w:val="000000"/>
                <w:kern w:val="0"/>
                <w:sz w:val="18"/>
                <w:szCs w:val="18"/>
              </w:rPr>
            </w:pPr>
          </w:p>
        </w:tc>
        <w:tc>
          <w:tcPr>
            <w:tcW w:w="709" w:type="dxa"/>
            <w:vAlign w:val="center"/>
          </w:tcPr>
          <w:p>
            <w:pPr>
              <w:widowControl/>
              <w:spacing w:line="360" w:lineRule="auto"/>
              <w:rPr>
                <w:rFonts w:ascii="宋体" w:hAnsi="宋体" w:eastAsia="宋体" w:cs="宋体"/>
                <w:color w:val="000000"/>
                <w:kern w:val="0"/>
                <w:sz w:val="18"/>
                <w:szCs w:val="18"/>
              </w:rPr>
            </w:pP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）护士执行医嘱有记录</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38" w:type="dxa"/>
            <w:vAlign w:val="center"/>
          </w:tcPr>
          <w:p>
            <w:pPr>
              <w:widowControl/>
              <w:spacing w:line="360" w:lineRule="auto"/>
              <w:rPr>
                <w:rFonts w:ascii="宋体" w:hAnsi="宋体" w:eastAsia="宋体" w:cs="宋体"/>
                <w:b/>
                <w:color w:val="000000"/>
                <w:kern w:val="0"/>
                <w:sz w:val="18"/>
                <w:szCs w:val="18"/>
              </w:rPr>
            </w:pPr>
          </w:p>
        </w:tc>
        <w:tc>
          <w:tcPr>
            <w:tcW w:w="709" w:type="dxa"/>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5670" w:type="dxa"/>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）医嘱执行记录可供全院共享</w:t>
            </w:r>
          </w:p>
        </w:tc>
        <w:tc>
          <w:tcPr>
            <w:tcW w:w="709" w:type="dxa"/>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需要新建统一患者视图系统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Align w:val="center"/>
          </w:tcPr>
          <w:p>
            <w:pPr>
              <w:widowControl/>
              <w:spacing w:line="360" w:lineRule="auto"/>
              <w:rPr>
                <w:rFonts w:ascii="宋体" w:hAnsi="宋体" w:eastAsia="宋体" w:cs="宋体"/>
                <w:b/>
                <w:color w:val="000000"/>
                <w:kern w:val="0"/>
                <w:sz w:val="18"/>
                <w:szCs w:val="18"/>
              </w:rPr>
            </w:pPr>
          </w:p>
        </w:tc>
        <w:tc>
          <w:tcPr>
            <w:tcW w:w="709" w:type="dxa"/>
            <w:vAlign w:val="center"/>
          </w:tcPr>
          <w:p>
            <w:pPr>
              <w:widowControl/>
              <w:spacing w:line="360" w:lineRule="auto"/>
              <w:rPr>
                <w:rFonts w:ascii="宋体" w:hAnsi="宋体" w:eastAsia="宋体" w:cs="宋体"/>
                <w:color w:val="000000"/>
                <w:kern w:val="0"/>
                <w:sz w:val="18"/>
                <w:szCs w:val="18"/>
              </w:rPr>
            </w:pP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）执行单能够在医嘱执行操作后产生</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Align w:val="center"/>
          </w:tcPr>
          <w:p>
            <w:pPr>
              <w:widowControl/>
              <w:spacing w:line="360" w:lineRule="auto"/>
              <w:rPr>
                <w:rFonts w:ascii="宋体" w:hAnsi="宋体" w:eastAsia="宋体" w:cs="宋体"/>
                <w:b/>
                <w:color w:val="000000"/>
                <w:kern w:val="0"/>
                <w:sz w:val="18"/>
                <w:szCs w:val="18"/>
              </w:rPr>
            </w:pPr>
          </w:p>
        </w:tc>
        <w:tc>
          <w:tcPr>
            <w:tcW w:w="709" w:type="dxa"/>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）在执行中实时产生记录</w:t>
            </w:r>
          </w:p>
        </w:tc>
        <w:tc>
          <w:tcPr>
            <w:tcW w:w="709" w:type="dxa"/>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38" w:type="dxa"/>
            <w:vAlign w:val="center"/>
          </w:tcPr>
          <w:p>
            <w:pPr>
              <w:widowControl/>
              <w:spacing w:line="360" w:lineRule="auto"/>
              <w:rPr>
                <w:rFonts w:ascii="宋体" w:hAnsi="宋体" w:eastAsia="宋体" w:cs="宋体"/>
                <w:b/>
                <w:color w:val="000000"/>
                <w:kern w:val="0"/>
                <w:sz w:val="18"/>
                <w:szCs w:val="18"/>
              </w:rPr>
            </w:pPr>
          </w:p>
        </w:tc>
        <w:tc>
          <w:tcPr>
            <w:tcW w:w="709" w:type="dxa"/>
            <w:vMerge w:val="continue"/>
            <w:vAlign w:val="center"/>
          </w:tcPr>
          <w:p>
            <w:pPr>
              <w:widowControl/>
              <w:spacing w:line="360" w:lineRule="auto"/>
              <w:rPr>
                <w:rFonts w:ascii="宋体" w:hAnsi="宋体" w:eastAsia="宋体" w:cs="宋体"/>
                <w:color w:val="000000"/>
                <w:kern w:val="0"/>
                <w:sz w:val="18"/>
                <w:szCs w:val="18"/>
              </w:rPr>
            </w:pP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）全院统一管理医嘱、执行记录，构成统一电子病历内容</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Align w:val="center"/>
          </w:tcPr>
          <w:p>
            <w:pPr>
              <w:widowControl/>
              <w:spacing w:line="360" w:lineRule="auto"/>
              <w:rPr>
                <w:rFonts w:ascii="宋体" w:hAnsi="宋体" w:eastAsia="宋体" w:cs="宋体"/>
                <w:b/>
                <w:color w:val="000000"/>
                <w:kern w:val="0"/>
                <w:sz w:val="18"/>
                <w:szCs w:val="18"/>
              </w:rPr>
            </w:pPr>
          </w:p>
        </w:tc>
        <w:tc>
          <w:tcPr>
            <w:tcW w:w="709" w:type="dxa"/>
            <w:vMerge w:val="continue"/>
            <w:vAlign w:val="center"/>
          </w:tcPr>
          <w:p>
            <w:pPr>
              <w:widowControl/>
              <w:spacing w:line="360" w:lineRule="auto"/>
              <w:rPr>
                <w:rFonts w:ascii="宋体" w:hAnsi="宋体" w:eastAsia="宋体" w:cs="宋体"/>
                <w:color w:val="000000"/>
                <w:kern w:val="0"/>
                <w:sz w:val="18"/>
                <w:szCs w:val="18"/>
              </w:rPr>
            </w:pP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）新医嘱和医嘱变更可及时通知护士</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bl>
    <w:p/>
    <w:p/>
    <w:p/>
    <w:p>
      <w:pPr>
        <w:sectPr>
          <w:pgSz w:w="16838" w:h="11906" w:orient="landscape"/>
          <w:pgMar w:top="1800" w:right="1440" w:bottom="1800" w:left="1440" w:header="851" w:footer="992" w:gutter="0"/>
          <w:cols w:space="425" w:num="1"/>
          <w:docGrid w:type="lines" w:linePitch="312" w:charSpace="0"/>
        </w:sectPr>
      </w:pPr>
    </w:p>
    <w:p>
      <w:pPr>
        <w:pStyle w:val="5"/>
      </w:pPr>
      <w:r>
        <w:rPr>
          <w:rFonts w:hint="eastAsia"/>
        </w:rPr>
        <w:t>门诊医师-门诊医生工作站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如下表所示按照电子病历系统应用水平3级、4级、5级标准要求，现行门诊医生工作站基本达到了电子病历系统4级应用水平，甚至达到了部分5级功能的水平如高危药品的警示、检查检验危急值的接收提醒、下达检验申请时临床医疗记录的查看等。但是鉴于医院目标没有检查检验知识库及门诊电子病历的原因，因此现行门诊医生工作站在门诊检验申请、门诊检验报告、门诊检查申请、门诊检查报告、门诊病历记录功能项中都还有零星功能点需要完善建设。此外，鉴于医院目前的核心应用系统如HIS系统、L</w:t>
      </w:r>
      <w:r>
        <w:rPr>
          <w:rFonts w:ascii="宋体" w:hAnsi="宋体" w:eastAsia="宋体"/>
          <w:sz w:val="24"/>
          <w:szCs w:val="24"/>
        </w:rPr>
        <w:t>IS</w:t>
      </w:r>
      <w:r>
        <w:rPr>
          <w:rFonts w:hint="eastAsia" w:ascii="宋体" w:hAnsi="宋体" w:eastAsia="宋体"/>
          <w:sz w:val="24"/>
          <w:szCs w:val="24"/>
        </w:rPr>
        <w:t>系统都是我司承建，具有统一的代码体系及良好的功能实现基础，建议进一步完善5级功能选项中医师处方权限、传染病上报、历史检验结果趋势图的功能，以保障电子病历系统应用水平4级测评的顺利通过。</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661"/>
        <w:gridCol w:w="6829"/>
        <w:gridCol w:w="718"/>
        <w:gridCol w:w="865"/>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业务项目</w:t>
            </w:r>
          </w:p>
        </w:tc>
        <w:tc>
          <w:tcPr>
            <w:tcW w:w="233"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评价类别</w:t>
            </w:r>
          </w:p>
        </w:tc>
        <w:tc>
          <w:tcPr>
            <w:tcW w:w="2408"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主要评价内容</w:t>
            </w:r>
          </w:p>
        </w:tc>
        <w:tc>
          <w:tcPr>
            <w:tcW w:w="253"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功能评分</w:t>
            </w:r>
          </w:p>
        </w:tc>
        <w:tc>
          <w:tcPr>
            <w:tcW w:w="305"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是否</w:t>
            </w:r>
          </w:p>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满足</w:t>
            </w:r>
          </w:p>
        </w:tc>
        <w:tc>
          <w:tcPr>
            <w:tcW w:w="1241"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如何实现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处方书写</w:t>
            </w:r>
          </w:p>
        </w:tc>
        <w:tc>
          <w:tcPr>
            <w:tcW w:w="233"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）能获取挂号或分诊的病人信息</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）下达的处方供药剂科、收费使用</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pPr>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）处方数据能够全院共享</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58" w:type="pct"/>
            <w:vAlign w:val="center"/>
          </w:tcPr>
          <w:p>
            <w:pPr>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）下达处方时能关联项目获得药物知识，如提供药物说明查询功能等</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）处方下达时能获得的药品剂型、剂量或可供应药品提示</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58" w:type="pct"/>
            <w:vAlign w:val="center"/>
          </w:tcPr>
          <w:p>
            <w:pPr>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）具有针对病人诊断、性别、历史处方、过敏史等进行合理用药、配伍禁忌、给药途径等综合自动检查功能并给出提示</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shd w:val="clear" w:color="auto" w:fill="FFFFFF" w:themeFill="background1"/>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）对高危药品使用给予警示</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8" w:type="pct"/>
            <w:vAlign w:val="center"/>
          </w:tcPr>
          <w:p>
            <w:pPr>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shd w:val="clear" w:color="auto" w:fill="FBE4D5" w:themeFill="accent2" w:themeFillTint="33"/>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）支持医师处方开写权限控制</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门诊医生站毒麻，精神麻醉药品权限控制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shd w:val="clear" w:color="auto" w:fill="FBE4D5" w:themeFill="accent2" w:themeFillTint="33"/>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）可依据诊断判断传染病情况，并通过系统上报医政管理部门</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医生写诊断判断是否传染病诊断提示上报传染病报告卡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门诊检验申请</w:t>
            </w:r>
          </w:p>
        </w:tc>
        <w:tc>
          <w:tcPr>
            <w:tcW w:w="233"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）检验申请能传送给医技科室</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）下达申请时有多科室公用的项目字典支持</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58" w:type="pct"/>
            <w:vAlign w:val="center"/>
          </w:tcPr>
          <w:p>
            <w:pPr>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40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）下达申请时可获得与项目关联的适应症、标本采集、检查意义等信息</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）有全院统一的检验项目字典</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）检验申请数据全院统一管理</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shd w:val="clear" w:color="auto" w:fill="FFFFFF" w:themeFill="background1"/>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）有全院统一的检验标本字典并在申请中使用</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shd w:val="clear" w:color="auto" w:fill="FFFFFF" w:themeFill="background1"/>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）下达检验申请单时，能查询临床医疗记录</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58" w:type="pc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门诊检验报告</w:t>
            </w:r>
          </w:p>
        </w:tc>
        <w:tc>
          <w:tcPr>
            <w:tcW w:w="233"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能查阅医技科室的检验报告，查阅工具可以是集成检验系统界面、直接利用检验系统</w:t>
            </w:r>
          </w:p>
        </w:tc>
        <w:tc>
          <w:tcPr>
            <w:tcW w:w="253" w:type="pc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）能够在门诊医师工作站环境中查阅检验报告</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）医师工作站中可查阅历史检验结果</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）能够给出结果参考范围及结果异常标记</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）查看检验报告时，可获得项目说明</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5</w:t>
            </w:r>
            <w:r>
              <w:rPr>
                <w:rFonts w:ascii="宋体" w:hAnsi="宋体" w:eastAsia="宋体" w:cs="宋体"/>
                <w:color w:val="000000"/>
                <w:kern w:val="0"/>
                <w:sz w:val="18"/>
                <w:szCs w:val="18"/>
              </w:rPr>
              <w:t>）检验报告与申请单可进行关联对应</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）查阅报告时，对于多正常参考值的项目能够根据检验结果和诊断、性别、生理指标等自动给出正常结果的判断与提示</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shd w:val="clear" w:color="auto" w:fill="FBE4D5" w:themeFill="accent2" w:themeFillTint="33"/>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）可根据历史检验结果绘制趋势图</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门诊医生站查看检验趋势图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shd w:val="clear" w:color="auto" w:fill="FFFFFF" w:themeFill="background1"/>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）对于危急检验结果，门诊医师能够在系统中看到</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门诊检查申请</w:t>
            </w: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(1)下达申请时能够调用本科室产生的病情摘要</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(2)检查申请能传送给医技科室</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）下达申请时能获得其他部门的病情摘要、诊断，具有检查适应症、作用、注意事项查询功能</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）检查申请能实时传送给相关科室</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）检查项目来自全院统一字典</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58"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门诊检查报告</w:t>
            </w: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能通过网络，利用界面集成或调用检查科室工具方式查阅医技科室的检查报告或图像</w:t>
            </w:r>
          </w:p>
        </w:tc>
        <w:tc>
          <w:tcPr>
            <w:tcW w:w="253" w:type="pc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）可通过系统内嵌方式查阅检查报告和图像信息</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）查看检查报告时可以按照项目查询结果说明信息</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）检查报告与申请单可进行关联对应</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）检查报告和图像来自全院统一管理的数据</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）查阅报告时，能够显示测量结果，对于有正常参考值的项目能显示参考范围及自动产生异常标记</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rPr>
                <w:rFonts w:ascii="宋体" w:hAnsi="宋体" w:eastAsia="宋体" w:cs="宋体"/>
                <w:color w:val="000000"/>
                <w:kern w:val="0"/>
                <w:sz w:val="18"/>
                <w:szCs w:val="18"/>
              </w:rPr>
            </w:pP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shd w:val="clear" w:color="auto" w:fill="FFFFFF" w:themeFill="background1"/>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）对于检查危急值，门诊医师能够在系统中看到</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bl>
    <w:p>
      <w:pPr>
        <w:spacing w:line="360" w:lineRule="auto"/>
        <w:rPr>
          <w:rFonts w:ascii="宋体" w:hAnsi="宋体" w:eastAsia="宋体"/>
          <w:sz w:val="24"/>
          <w:szCs w:val="24"/>
        </w:rPr>
      </w:pPr>
    </w:p>
    <w:p/>
    <w:p/>
    <w:p>
      <w:pPr>
        <w:pStyle w:val="5"/>
      </w:pPr>
      <w:r>
        <w:rPr>
          <w:rFonts w:hint="eastAsia"/>
        </w:rPr>
        <w:t>医疗保障-药房管理系统</w:t>
      </w:r>
    </w:p>
    <w:p>
      <w:pPr>
        <w:spacing w:line="360" w:lineRule="auto"/>
        <w:ind w:firstLine="480" w:firstLineChars="200"/>
      </w:pPr>
      <w:r>
        <w:rPr>
          <w:rFonts w:hint="eastAsia" w:ascii="宋体" w:hAnsi="宋体" w:eastAsia="宋体"/>
          <w:sz w:val="24"/>
          <w:szCs w:val="24"/>
        </w:rPr>
        <w:t>如下表所示按照电子病历系统应用水平3级、4级、5级标准要求，现行药房管理系统基本达到了电子病历系统4级应用水平，只有少数零星功能项需要进一步完善，如患者基本情况、体征、药敏数据在药房管理系统中的共享，病房药品字典、可供目录、药品使用说明信息在全院范围内的共享还需要完善建设。</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709"/>
        <w:gridCol w:w="8083"/>
        <w:gridCol w:w="718"/>
        <w:gridCol w:w="689"/>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业务项目</w:t>
            </w:r>
          </w:p>
        </w:tc>
        <w:tc>
          <w:tcPr>
            <w:tcW w:w="250" w:type="pct"/>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项目类别</w:t>
            </w:r>
          </w:p>
        </w:tc>
        <w:tc>
          <w:tcPr>
            <w:tcW w:w="2850" w:type="pct"/>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系统功能评价内容</w:t>
            </w:r>
          </w:p>
        </w:tc>
        <w:tc>
          <w:tcPr>
            <w:tcW w:w="253" w:type="pct"/>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功能评分</w:t>
            </w:r>
          </w:p>
        </w:tc>
        <w:tc>
          <w:tcPr>
            <w:tcW w:w="243" w:type="pct"/>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是否满足</w:t>
            </w:r>
          </w:p>
        </w:tc>
        <w:tc>
          <w:tcPr>
            <w:tcW w:w="795" w:type="pct"/>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如何实现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门诊药品调剂</w:t>
            </w:r>
          </w:p>
        </w:tc>
        <w:tc>
          <w:tcPr>
            <w:tcW w:w="250" w:type="pct"/>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）可共享门诊医师处方数据</w:t>
            </w:r>
          </w:p>
        </w:tc>
        <w:tc>
          <w:tcPr>
            <w:tcW w:w="253" w:type="pct"/>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）有核查处方剂量、给药方式与字典是否一致并提示的功能</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合理用药提供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）有统一的药品字典</w:t>
            </w:r>
          </w:p>
        </w:tc>
        <w:tc>
          <w:tcPr>
            <w:tcW w:w="253" w:type="pct"/>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）可获得门诊、其他部门的处方数据</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shd w:val="clear" w:color="auto" w:fill="9CC2E5" w:themeFill="accent1" w:themeFillTint="99"/>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）能够获得病人基本情况、体征、药敏数据</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药房系统改造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）有发药记录</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）能从全院统一医疗记录中获得门诊处方记录</w:t>
            </w:r>
          </w:p>
        </w:tc>
        <w:tc>
          <w:tcPr>
            <w:tcW w:w="253" w:type="pct"/>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）有完善的药品使用核查处理功能</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）有药品使用管理记录，支持药品分级管理</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）能够实时进行药物之间、药物与诊断的检查</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合理用药提供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widowControl/>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5</w:t>
            </w:r>
            <w:r>
              <w:rPr>
                <w:rFonts w:ascii="宋体" w:hAnsi="宋体" w:eastAsia="宋体" w:cs="宋体"/>
                <w:color w:val="000000"/>
                <w:kern w:val="0"/>
                <w:sz w:val="18"/>
                <w:szCs w:val="18"/>
              </w:rPr>
              <w:t>）具有处方评价抽查、记录工具，抽查发现的不合理用药能够记录</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合理用药提供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病房药品配置</w:t>
            </w:r>
          </w:p>
        </w:tc>
        <w:tc>
          <w:tcPr>
            <w:tcW w:w="250" w:type="pc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850" w:type="pc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手工处理住院药品准备信息</w:t>
            </w:r>
          </w:p>
        </w:tc>
        <w:tc>
          <w:tcPr>
            <w:tcW w:w="253" w:type="pc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0</w:t>
            </w: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电脑使用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tcPr>
          <w:p>
            <w:pPr>
              <w:widowControl/>
              <w:spacing w:line="360" w:lineRule="auto"/>
              <w:rPr>
                <w:rFonts w:ascii="宋体" w:hAnsi="宋体" w:eastAsia="宋体" w:cs="宋体"/>
                <w:color w:val="000000"/>
                <w:kern w:val="0"/>
                <w:sz w:val="18"/>
                <w:szCs w:val="18"/>
              </w:rPr>
            </w:pPr>
          </w:p>
        </w:tc>
        <w:tc>
          <w:tcPr>
            <w:tcW w:w="250" w:type="pct"/>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）可接收病房医嘱、处方</w:t>
            </w:r>
          </w:p>
        </w:tc>
        <w:tc>
          <w:tcPr>
            <w:tcW w:w="253" w:type="pct"/>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tcPr>
          <w:p>
            <w:pPr>
              <w:widowControl/>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）可为临床提供统一的药品字典、药剂科的可供药目录</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tcPr>
          <w:p>
            <w:pPr>
              <w:widowControl/>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）具有用药检查功能</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合理用药提供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07" w:type="pct"/>
          </w:tcPr>
          <w:p>
            <w:pPr>
              <w:widowControl/>
              <w:spacing w:line="360" w:lineRule="auto"/>
              <w:rPr>
                <w:rFonts w:ascii="宋体" w:hAnsi="宋体" w:eastAsia="宋体" w:cs="宋体"/>
                <w:color w:val="000000"/>
                <w:kern w:val="0"/>
                <w:sz w:val="18"/>
                <w:szCs w:val="18"/>
              </w:rPr>
            </w:pPr>
          </w:p>
        </w:tc>
        <w:tc>
          <w:tcPr>
            <w:tcW w:w="250" w:type="pct"/>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850" w:type="pct"/>
            <w:shd w:val="clear" w:color="auto" w:fill="9CC2E5" w:themeFill="accent1" w:themeFillTint="99"/>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）病房药品信息可供全院共享（字典、可供药目录、药品使用说明等）</w:t>
            </w:r>
          </w:p>
        </w:tc>
        <w:tc>
          <w:tcPr>
            <w:tcW w:w="253" w:type="pct"/>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药房系统改造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tcPr>
          <w:p>
            <w:pPr>
              <w:widowControl/>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）药品准备（集中摆药、配液等）过程有记录</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bl>
    <w:p/>
    <w:p>
      <w:pPr>
        <w:pStyle w:val="5"/>
      </w:pPr>
      <w:r>
        <w:rPr>
          <w:rFonts w:hint="eastAsia"/>
        </w:rPr>
        <w:t>医疗保障-血库管理系统</w:t>
      </w:r>
    </w:p>
    <w:p>
      <w:pPr>
        <w:spacing w:line="360" w:lineRule="auto"/>
        <w:ind w:firstLine="480" w:firstLineChars="200"/>
      </w:pPr>
      <w:r>
        <w:rPr>
          <w:rFonts w:hint="eastAsia" w:ascii="宋体" w:hAnsi="宋体" w:eastAsia="宋体"/>
          <w:sz w:val="24"/>
          <w:szCs w:val="24"/>
        </w:rPr>
        <w:t>如下表所示按照电子病历系统应用水平3级、4级、5级标准要求，现行血库管理系统基本达到了电子病历系统4级应用水平，只有少数零星功能项需要进一步完善，如库存血液情况、配血情况、用血记录信息在临床科室中的共享还需要完善建设。</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060"/>
        <w:gridCol w:w="6605"/>
        <w:gridCol w:w="1060"/>
        <w:gridCol w:w="1421"/>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66" w:type="dxa"/>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业务项目</w:t>
            </w:r>
          </w:p>
        </w:tc>
        <w:tc>
          <w:tcPr>
            <w:tcW w:w="1060" w:type="dxa"/>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项目类别</w:t>
            </w:r>
          </w:p>
        </w:tc>
        <w:tc>
          <w:tcPr>
            <w:tcW w:w="6605" w:type="dxa"/>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系统功能评价内容</w:t>
            </w:r>
          </w:p>
        </w:tc>
        <w:tc>
          <w:tcPr>
            <w:tcW w:w="1060" w:type="dxa"/>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功能评分</w:t>
            </w:r>
          </w:p>
        </w:tc>
        <w:tc>
          <w:tcPr>
            <w:tcW w:w="1421" w:type="dxa"/>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评估是否满足</w:t>
            </w:r>
          </w:p>
        </w:tc>
        <w:tc>
          <w:tcPr>
            <w:tcW w:w="2636" w:type="dxa"/>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如何实现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血液准备</w:t>
            </w:r>
          </w:p>
        </w:tc>
        <w:tc>
          <w:tcPr>
            <w:tcW w:w="1060" w:type="dxa"/>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6605" w:type="dxa"/>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）具有血液字典</w:t>
            </w:r>
          </w:p>
        </w:tc>
        <w:tc>
          <w:tcPr>
            <w:tcW w:w="1060" w:type="dxa"/>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tcPr>
          <w:p>
            <w:pPr>
              <w:widowControl/>
              <w:spacing w:line="360" w:lineRule="auto"/>
              <w:rPr>
                <w:rFonts w:ascii="宋体" w:hAnsi="宋体" w:eastAsia="宋体" w:cs="宋体"/>
                <w:color w:val="000000"/>
                <w:kern w:val="0"/>
                <w:sz w:val="18"/>
                <w:szCs w:val="18"/>
              </w:rPr>
            </w:pPr>
          </w:p>
        </w:tc>
        <w:tc>
          <w:tcPr>
            <w:tcW w:w="1060" w:type="dxa"/>
          </w:tcPr>
          <w:p>
            <w:pPr>
              <w:widowControl/>
              <w:spacing w:line="360" w:lineRule="auto"/>
              <w:jc w:val="left"/>
              <w:rPr>
                <w:rFonts w:ascii="宋体" w:hAnsi="宋体" w:eastAsia="宋体" w:cs="宋体"/>
                <w:color w:val="000000"/>
                <w:kern w:val="0"/>
                <w:sz w:val="18"/>
                <w:szCs w:val="18"/>
              </w:rPr>
            </w:pPr>
          </w:p>
        </w:tc>
        <w:tc>
          <w:tcPr>
            <w:tcW w:w="6605" w:type="dxa"/>
            <w:shd w:val="clear" w:color="auto" w:fill="9CC2E5" w:themeFill="accent1" w:themeFillTint="99"/>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）有血液查询工具供临床科室共享信息</w:t>
            </w:r>
          </w:p>
        </w:tc>
        <w:tc>
          <w:tcPr>
            <w:tcW w:w="1060" w:type="dxa"/>
            <w:vMerge w:val="continue"/>
          </w:tcPr>
          <w:p>
            <w:pPr>
              <w:widowControl/>
              <w:spacing w:line="360" w:lineRule="auto"/>
              <w:jc w:val="left"/>
              <w:rPr>
                <w:rFonts w:ascii="宋体" w:hAnsi="宋体" w:eastAsia="宋体" w:cs="Times New Roman"/>
                <w:color w:val="000000"/>
                <w:kern w:val="0"/>
                <w:sz w:val="18"/>
                <w:szCs w:val="18"/>
              </w:rPr>
            </w:pP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血库系统改造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tcPr>
          <w:p>
            <w:pPr>
              <w:widowControl/>
              <w:spacing w:line="360" w:lineRule="auto"/>
              <w:rPr>
                <w:rFonts w:ascii="宋体" w:hAnsi="宋体" w:eastAsia="宋体" w:cs="宋体"/>
                <w:color w:val="000000"/>
                <w:kern w:val="0"/>
                <w:sz w:val="18"/>
                <w:szCs w:val="18"/>
              </w:rPr>
            </w:pPr>
          </w:p>
        </w:tc>
        <w:tc>
          <w:tcPr>
            <w:tcW w:w="1060" w:type="dxa"/>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6605" w:type="dxa"/>
            <w:shd w:val="clear" w:color="auto" w:fill="9CC2E5" w:themeFill="accent1" w:themeFillTint="99"/>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）库存血液情况或血液可保障情况能够供全院共享</w:t>
            </w:r>
          </w:p>
        </w:tc>
        <w:tc>
          <w:tcPr>
            <w:tcW w:w="1060" w:type="dxa"/>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血库系统改造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tcPr>
          <w:p>
            <w:pPr>
              <w:widowControl/>
              <w:spacing w:line="360" w:lineRule="auto"/>
              <w:rPr>
                <w:rFonts w:ascii="宋体" w:hAnsi="宋体" w:eastAsia="宋体" w:cs="宋体"/>
                <w:color w:val="000000"/>
                <w:kern w:val="0"/>
                <w:sz w:val="18"/>
                <w:szCs w:val="18"/>
              </w:rPr>
            </w:pPr>
          </w:p>
        </w:tc>
        <w:tc>
          <w:tcPr>
            <w:tcW w:w="1060" w:type="dxa"/>
          </w:tcPr>
          <w:p>
            <w:pPr>
              <w:widowControl/>
              <w:spacing w:line="360" w:lineRule="auto"/>
              <w:jc w:val="left"/>
              <w:rPr>
                <w:rFonts w:ascii="宋体" w:hAnsi="宋体" w:eastAsia="宋体" w:cs="宋体"/>
                <w:color w:val="000000"/>
                <w:kern w:val="0"/>
                <w:sz w:val="18"/>
                <w:szCs w:val="18"/>
              </w:rPr>
            </w:pPr>
          </w:p>
        </w:tc>
        <w:tc>
          <w:tcPr>
            <w:tcW w:w="6605" w:type="dxa"/>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）血库能够查询和统计住院病人血型分布情况</w:t>
            </w:r>
          </w:p>
        </w:tc>
        <w:tc>
          <w:tcPr>
            <w:tcW w:w="1060" w:type="dxa"/>
            <w:vMerge w:val="continue"/>
          </w:tcPr>
          <w:p>
            <w:pPr>
              <w:widowControl/>
              <w:spacing w:line="360" w:lineRule="auto"/>
              <w:jc w:val="left"/>
              <w:rPr>
                <w:rFonts w:ascii="宋体" w:hAnsi="宋体" w:eastAsia="宋体" w:cs="Times New Roman"/>
                <w:color w:val="000000"/>
                <w:kern w:val="0"/>
                <w:sz w:val="18"/>
                <w:szCs w:val="18"/>
              </w:rPr>
            </w:pP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配血与用血</w:t>
            </w:r>
          </w:p>
        </w:tc>
        <w:tc>
          <w:tcPr>
            <w:tcW w:w="1060" w:type="dxa"/>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6605" w:type="dxa"/>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）临床用血申请与血库共享</w:t>
            </w:r>
          </w:p>
        </w:tc>
        <w:tc>
          <w:tcPr>
            <w:tcW w:w="1060" w:type="dxa"/>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tcPr>
          <w:p>
            <w:pPr>
              <w:widowControl/>
              <w:spacing w:line="360" w:lineRule="auto"/>
              <w:rPr>
                <w:rFonts w:ascii="宋体" w:hAnsi="宋体" w:eastAsia="宋体" w:cs="宋体"/>
                <w:color w:val="000000"/>
                <w:kern w:val="0"/>
                <w:sz w:val="18"/>
                <w:szCs w:val="18"/>
              </w:rPr>
            </w:pPr>
          </w:p>
        </w:tc>
        <w:tc>
          <w:tcPr>
            <w:tcW w:w="1060" w:type="dxa"/>
          </w:tcPr>
          <w:p>
            <w:pPr>
              <w:widowControl/>
              <w:spacing w:line="360" w:lineRule="auto"/>
              <w:jc w:val="left"/>
              <w:rPr>
                <w:rFonts w:ascii="宋体" w:hAnsi="宋体" w:eastAsia="宋体" w:cs="宋体"/>
                <w:color w:val="000000"/>
                <w:kern w:val="0"/>
                <w:sz w:val="18"/>
                <w:szCs w:val="18"/>
              </w:rPr>
            </w:pPr>
          </w:p>
        </w:tc>
        <w:tc>
          <w:tcPr>
            <w:tcW w:w="6605" w:type="dxa"/>
            <w:shd w:val="clear" w:color="auto" w:fill="9CC2E5" w:themeFill="accent1" w:themeFillTint="99"/>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）配血情况、用血记录可供临床科室查询</w:t>
            </w:r>
          </w:p>
        </w:tc>
        <w:tc>
          <w:tcPr>
            <w:tcW w:w="1060" w:type="dxa"/>
            <w:vMerge w:val="continue"/>
          </w:tcPr>
          <w:p>
            <w:pPr>
              <w:widowControl/>
              <w:spacing w:line="360" w:lineRule="auto"/>
              <w:jc w:val="left"/>
              <w:rPr>
                <w:rFonts w:ascii="宋体" w:hAnsi="宋体" w:eastAsia="宋体" w:cs="Times New Roman"/>
                <w:color w:val="000000"/>
                <w:kern w:val="0"/>
                <w:sz w:val="18"/>
                <w:szCs w:val="18"/>
              </w:rPr>
            </w:pP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血库系统改造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tcPr>
          <w:p>
            <w:pPr>
              <w:widowControl/>
              <w:spacing w:line="360" w:lineRule="auto"/>
              <w:rPr>
                <w:rFonts w:ascii="宋体" w:hAnsi="宋体" w:eastAsia="宋体" w:cs="宋体"/>
                <w:color w:val="000000"/>
                <w:kern w:val="0"/>
                <w:sz w:val="18"/>
                <w:szCs w:val="18"/>
              </w:rPr>
            </w:pPr>
          </w:p>
        </w:tc>
        <w:tc>
          <w:tcPr>
            <w:tcW w:w="1060" w:type="dxa"/>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6605" w:type="dxa"/>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）配血过程有完整记录</w:t>
            </w:r>
          </w:p>
        </w:tc>
        <w:tc>
          <w:tcPr>
            <w:tcW w:w="1060" w:type="dxa"/>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66" w:type="dxa"/>
          </w:tcPr>
          <w:p>
            <w:pPr>
              <w:widowControl/>
              <w:spacing w:line="360" w:lineRule="auto"/>
              <w:rPr>
                <w:rFonts w:ascii="宋体" w:hAnsi="宋体" w:eastAsia="宋体" w:cs="宋体"/>
                <w:color w:val="000000"/>
                <w:kern w:val="0"/>
                <w:sz w:val="18"/>
                <w:szCs w:val="18"/>
              </w:rPr>
            </w:pPr>
          </w:p>
        </w:tc>
        <w:tc>
          <w:tcPr>
            <w:tcW w:w="1060" w:type="dxa"/>
          </w:tcPr>
          <w:p>
            <w:pPr>
              <w:widowControl/>
              <w:spacing w:line="360" w:lineRule="auto"/>
              <w:jc w:val="left"/>
              <w:rPr>
                <w:rFonts w:ascii="宋体" w:hAnsi="宋体" w:eastAsia="宋体" w:cs="宋体"/>
                <w:color w:val="000000"/>
                <w:kern w:val="0"/>
                <w:sz w:val="18"/>
                <w:szCs w:val="18"/>
              </w:rPr>
            </w:pPr>
          </w:p>
        </w:tc>
        <w:tc>
          <w:tcPr>
            <w:tcW w:w="6605" w:type="dxa"/>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）临床申请用血、血库配血时，可共享病人用血相关的配血检验信息</w:t>
            </w:r>
          </w:p>
        </w:tc>
        <w:tc>
          <w:tcPr>
            <w:tcW w:w="1060" w:type="dxa"/>
            <w:vMerge w:val="continue"/>
          </w:tcPr>
          <w:p>
            <w:pPr>
              <w:widowControl/>
              <w:spacing w:line="360" w:lineRule="auto"/>
              <w:jc w:val="left"/>
              <w:rPr>
                <w:rFonts w:ascii="宋体" w:hAnsi="宋体" w:eastAsia="宋体" w:cs="Times New Roman"/>
                <w:color w:val="000000"/>
                <w:kern w:val="0"/>
                <w:sz w:val="18"/>
                <w:szCs w:val="18"/>
              </w:rPr>
            </w:pP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住院医生工作站可以实现</w:t>
            </w:r>
          </w:p>
        </w:tc>
      </w:tr>
    </w:tbl>
    <w:p/>
    <w:p>
      <w:pPr>
        <w:pStyle w:val="5"/>
      </w:pPr>
      <w:r>
        <w:rPr>
          <w:rFonts w:hint="eastAsia"/>
        </w:rPr>
        <w:t>检验科室-L</w:t>
      </w:r>
      <w:r>
        <w:t>IS</w:t>
      </w:r>
      <w:r>
        <w:rPr>
          <w:rFonts w:hint="eastAsia"/>
        </w:rPr>
        <w:t>系统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如下表所示按照电子病历系统应用水平3级、4级、5级标准要求，现行L</w:t>
      </w:r>
      <w:r>
        <w:rPr>
          <w:rFonts w:ascii="宋体" w:hAnsi="宋体" w:eastAsia="宋体"/>
          <w:sz w:val="24"/>
          <w:szCs w:val="24"/>
        </w:rPr>
        <w:t>IS</w:t>
      </w:r>
      <w:r>
        <w:rPr>
          <w:rFonts w:hint="eastAsia" w:ascii="宋体" w:hAnsi="宋体" w:eastAsia="宋体"/>
          <w:sz w:val="24"/>
          <w:szCs w:val="24"/>
        </w:rPr>
        <w:t>系统基本达到了电子病历系统4级应用水平，甚至达到了部分5级功能的水平如不合格标本的记录。但是在标本处理、检验结果记录、报告生成功能项中都还有零星功能点需要完善建设。</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325"/>
        <w:gridCol w:w="7611"/>
        <w:gridCol w:w="715"/>
        <w:gridCol w:w="718"/>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业务项目</w:t>
            </w:r>
          </w:p>
        </w:tc>
        <w:tc>
          <w:tcPr>
            <w:tcW w:w="467"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评价类别</w:t>
            </w:r>
          </w:p>
        </w:tc>
        <w:tc>
          <w:tcPr>
            <w:tcW w:w="2683"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系统功能评价内容</w:t>
            </w:r>
          </w:p>
        </w:tc>
        <w:tc>
          <w:tcPr>
            <w:tcW w:w="252"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功能评分</w:t>
            </w:r>
          </w:p>
        </w:tc>
        <w:tc>
          <w:tcPr>
            <w:tcW w:w="253"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是否满足</w:t>
            </w:r>
          </w:p>
        </w:tc>
        <w:tc>
          <w:tcPr>
            <w:tcW w:w="886"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如何实现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标本处理</w:t>
            </w:r>
          </w:p>
        </w:tc>
        <w:tc>
          <w:tcPr>
            <w:tcW w:w="467"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）检验标本采集时依据申请数据</w:t>
            </w:r>
          </w:p>
        </w:tc>
        <w:tc>
          <w:tcPr>
            <w:tcW w:w="252"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）使用机读方式标识标本</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）标本在实验室检验过程各环节有记录</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683"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）临床科室有与实验室共享的标本字典并具有与项目关联的采集要求提示与说明</w:t>
            </w:r>
          </w:p>
        </w:tc>
        <w:tc>
          <w:tcPr>
            <w:tcW w:w="252"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）实验室与临床科室共享标本数据</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）标本采集和检验全程记录并在全院共享</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）标本字典、标本采集记录等数据在医院统一管理</w:t>
            </w:r>
          </w:p>
        </w:tc>
        <w:tc>
          <w:tcPr>
            <w:tcW w:w="252"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）标本采集可根据检验知识库进行标本类型、病人关联、采集要求等的核对，防止标本差错</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shd w:val="clear" w:color="auto" w:fill="FEF2CC" w:themeFill="accent4" w:themeFillTint="33"/>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）对接收到的不合格标本有记录</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检验结果记录</w:t>
            </w:r>
          </w:p>
        </w:tc>
        <w:tc>
          <w:tcPr>
            <w:tcW w:w="467"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）检验结果能够传送给临床科室</w:t>
            </w:r>
          </w:p>
        </w:tc>
        <w:tc>
          <w:tcPr>
            <w:tcW w:w="252"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56" w:type="pct"/>
            <w:vAlign w:val="center"/>
          </w:tcPr>
          <w:p>
            <w:pPr>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）有自动判断检验正常值、提示正常值范围功能</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56" w:type="pct"/>
            <w:vAlign w:val="center"/>
          </w:tcPr>
          <w:p>
            <w:pPr>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）检验系统提供展现检验结果工具供其他系统进行界面集成或直接调用</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56" w:type="pct"/>
            <w:vAlign w:val="center"/>
          </w:tcPr>
          <w:p>
            <w:pPr>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）检验结果可供全院共享，可为医院其他系统提供检验数据接口</w:t>
            </w:r>
          </w:p>
        </w:tc>
        <w:tc>
          <w:tcPr>
            <w:tcW w:w="252"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56" w:type="pct"/>
            <w:vAlign w:val="center"/>
          </w:tcPr>
          <w:p>
            <w:pPr>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）出现危急检验结果时能够向临床系统发出及时警示</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检验危急值改造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56" w:type="pct"/>
            <w:vAlign w:val="center"/>
          </w:tcPr>
          <w:p>
            <w:pPr>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）对支持双向数据交换的仪器实现双向数据交换</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检验系统改造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56" w:type="pct"/>
            <w:vAlign w:val="center"/>
          </w:tcPr>
          <w:p>
            <w:pPr>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）检验结果作为医院整体医疗数据管理体系内容</w:t>
            </w:r>
          </w:p>
        </w:tc>
        <w:tc>
          <w:tcPr>
            <w:tcW w:w="252"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）检验结果可按项目进行结构化数据记录</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）有实验室内质控记录</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报告生成</w:t>
            </w:r>
          </w:p>
        </w:tc>
        <w:tc>
          <w:tcPr>
            <w:tcW w:w="467"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）检验报告供其他部门共享</w:t>
            </w:r>
          </w:p>
        </w:tc>
        <w:tc>
          <w:tcPr>
            <w:tcW w:w="252"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）检验报告中有的参考范围提示</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）检验报告能够与临床检验申请自动对应</w:t>
            </w:r>
            <w:bookmarkStart w:id="12" w:name="_GoBack"/>
            <w:bookmarkEnd w:id="12"/>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683"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）报告数据可供全院使用</w:t>
            </w:r>
          </w:p>
        </w:tc>
        <w:tc>
          <w:tcPr>
            <w:tcW w:w="252"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统一患者视图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）审核报告时，可查询病人历史检验结果</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）发出报告中的异常检验结果的标识</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）检验报告包括必要的数值、曲线、图像</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）检验报告纳入全院统一数据管理体系</w:t>
            </w:r>
          </w:p>
        </w:tc>
        <w:tc>
          <w:tcPr>
            <w:tcW w:w="252"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56" w:type="pct"/>
            <w:vAlign w:val="center"/>
          </w:tcPr>
          <w:p>
            <w:pPr>
              <w:widowControl/>
              <w:spacing w:line="360" w:lineRule="auto"/>
              <w:rPr>
                <w:rFonts w:ascii="宋体" w:hAnsi="宋体" w:eastAsia="宋体" w:cs="宋体"/>
                <w:b/>
                <w:color w:val="000000"/>
                <w:kern w:val="0"/>
                <w:sz w:val="18"/>
                <w:szCs w:val="18"/>
              </w:rPr>
            </w:pPr>
          </w:p>
        </w:tc>
        <w:tc>
          <w:tcPr>
            <w:tcW w:w="467" w:type="pct"/>
            <w:vAlign w:val="center"/>
          </w:tcPr>
          <w:p>
            <w:pPr>
              <w:widowControl/>
              <w:spacing w:line="360" w:lineRule="auto"/>
              <w:rPr>
                <w:rFonts w:ascii="宋体" w:hAnsi="宋体" w:eastAsia="宋体" w:cs="宋体"/>
                <w:color w:val="000000"/>
                <w:kern w:val="0"/>
                <w:sz w:val="18"/>
                <w:szCs w:val="18"/>
              </w:rPr>
            </w:pPr>
          </w:p>
        </w:tc>
        <w:tc>
          <w:tcPr>
            <w:tcW w:w="2683"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）报告审核时能自动显示病人同项目的历史检验结果作为参考</w:t>
            </w:r>
          </w:p>
        </w:tc>
        <w:tc>
          <w:tcPr>
            <w:tcW w:w="252" w:type="pct"/>
            <w:vMerge w:val="continue"/>
            <w:vAlign w:val="center"/>
          </w:tcPr>
          <w:p>
            <w:pPr>
              <w:widowControl/>
              <w:spacing w:line="360" w:lineRule="auto"/>
              <w:rPr>
                <w:rFonts w:ascii="宋体" w:hAnsi="宋体" w:eastAsia="宋体" w:cs="Times New Roman"/>
                <w:color w:val="000000"/>
                <w:kern w:val="0"/>
                <w:sz w:val="18"/>
                <w:szCs w:val="18"/>
              </w:rPr>
            </w:pPr>
          </w:p>
        </w:tc>
        <w:tc>
          <w:tcPr>
            <w:tcW w:w="25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bl>
    <w:p>
      <w:pPr>
        <w:sectPr>
          <w:pgSz w:w="16838" w:h="11906" w:orient="landscape"/>
          <w:pgMar w:top="1800" w:right="1440" w:bottom="1800" w:left="1440" w:header="851" w:footer="992" w:gutter="0"/>
          <w:cols w:space="425" w:num="1"/>
          <w:docGrid w:type="lines" w:linePitch="312" w:charSpace="0"/>
        </w:sectPr>
      </w:pPr>
    </w:p>
    <w:p>
      <w:pPr>
        <w:spacing w:line="360" w:lineRule="auto"/>
        <w:rPr>
          <w:rFonts w:ascii="宋体" w:hAnsi="宋体" w:eastAsia="宋体"/>
          <w:sz w:val="24"/>
          <w:szCs w:val="24"/>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auto"/>
    <w:pitch w:val="default"/>
    <w:sig w:usb0="00000000" w:usb1="00000000" w:usb2="0000003F" w:usb3="00000000" w:csb0="003F01FF"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498016"/>
      <w:docPartObj>
        <w:docPartGallery w:val="autotext"/>
      </w:docPartObj>
    </w:sdtPr>
    <w:sdtContent>
      <w:p>
        <w:pPr>
          <w:pStyle w:val="28"/>
          <w:jc w:val="center"/>
        </w:pPr>
        <w:r>
          <w:fldChar w:fldCharType="begin"/>
        </w:r>
        <w:r>
          <w:instrText xml:space="preserve">PAGE   \* MERGEFORMAT</w:instrText>
        </w:r>
        <w:r>
          <w:fldChar w:fldCharType="separate"/>
        </w:r>
        <w:r>
          <w:rPr>
            <w:lang w:val="zh-CN"/>
          </w:rPr>
          <w:t>2</w:t>
        </w:r>
        <w:r>
          <w:fldChar w:fldCharType="end"/>
        </w:r>
      </w:p>
    </w:sdtContent>
  </w:sdt>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136"/>
      <w:lvlText w:val="%1."/>
      <w:lvlJc w:val="left"/>
      <w:pPr>
        <w:tabs>
          <w:tab w:val="left" w:pos="1620"/>
        </w:tabs>
        <w:ind w:left="1620" w:leftChars="600" w:hanging="360" w:hangingChars="200"/>
      </w:pPr>
    </w:lvl>
  </w:abstractNum>
  <w:abstractNum w:abstractNumId="1">
    <w:nsid w:val="FFFFFF7E"/>
    <w:multiLevelType w:val="singleLevel"/>
    <w:tmpl w:val="FFFFFF7E"/>
    <w:lvl w:ilvl="0" w:tentative="0">
      <w:start w:val="1"/>
      <w:numFmt w:val="decimal"/>
      <w:pStyle w:val="19"/>
      <w:lvlText w:val="%1."/>
      <w:lvlJc w:val="left"/>
      <w:pPr>
        <w:tabs>
          <w:tab w:val="left" w:pos="1200"/>
        </w:tabs>
        <w:ind w:left="1200" w:leftChars="400" w:hanging="360" w:hangingChars="200"/>
      </w:pPr>
    </w:lvl>
  </w:abstractNum>
  <w:abstractNum w:abstractNumId="2">
    <w:nsid w:val="01CA48C2"/>
    <w:multiLevelType w:val="multilevel"/>
    <w:tmpl w:val="01CA48C2"/>
    <w:lvl w:ilvl="0" w:tentative="0">
      <w:start w:val="1"/>
      <w:numFmt w:val="decimal"/>
      <w:pStyle w:val="143"/>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CE85742"/>
    <w:multiLevelType w:val="multilevel"/>
    <w:tmpl w:val="0CE85742"/>
    <w:lvl w:ilvl="0" w:tentative="0">
      <w:start w:val="1"/>
      <w:numFmt w:val="decimal"/>
      <w:pStyle w:val="153"/>
      <w:lvlText w:val="图%1 "/>
      <w:lvlJc w:val="left"/>
      <w:pPr>
        <w:tabs>
          <w:tab w:val="left" w:pos="720"/>
        </w:tabs>
      </w:pPr>
      <w:rPr>
        <w:rFonts w:hint="eastAsia"/>
      </w:rPr>
    </w:lvl>
    <w:lvl w:ilvl="1" w:tentative="0">
      <w:start w:val="1"/>
      <w:numFmt w:val="decimal"/>
      <w:lvlText w:val="图%1.%2"/>
      <w:lvlJc w:val="left"/>
      <w:pPr>
        <w:tabs>
          <w:tab w:val="left" w:pos="720"/>
        </w:tabs>
      </w:pPr>
      <w:rPr>
        <w:rFonts w:hint="eastAsia"/>
      </w:rPr>
    </w:lvl>
    <w:lvl w:ilvl="2" w:tentative="0">
      <w:start w:val="1"/>
      <w:numFmt w:val="decimal"/>
      <w:lvlText w:val="%1.%2.%3"/>
      <w:lvlJc w:val="left"/>
      <w:pPr>
        <w:tabs>
          <w:tab w:val="left" w:pos="720"/>
        </w:tabs>
      </w:pPr>
      <w:rPr>
        <w:rFonts w:hint="eastAsia"/>
      </w:rPr>
    </w:lvl>
    <w:lvl w:ilvl="3" w:tentative="0">
      <w:start w:val="1"/>
      <w:numFmt w:val="decimal"/>
      <w:lvlText w:val="%1.%2.%3.%4"/>
      <w:lvlJc w:val="left"/>
      <w:pPr>
        <w:tabs>
          <w:tab w:val="left" w:pos="1080"/>
        </w:tabs>
      </w:pPr>
      <w:rPr>
        <w:rFonts w:hint="eastAsia"/>
      </w:rPr>
    </w:lvl>
    <w:lvl w:ilvl="4" w:tentative="0">
      <w:start w:val="1"/>
      <w:numFmt w:val="decimal"/>
      <w:lvlText w:val="%1.%2.%3.%4.%5"/>
      <w:lvlJc w:val="left"/>
      <w:pPr>
        <w:tabs>
          <w:tab w:val="left" w:pos="1490"/>
        </w:tabs>
        <w:ind w:left="1490" w:hanging="1008"/>
      </w:pPr>
      <w:rPr>
        <w:rFonts w:hint="eastAsia"/>
      </w:rPr>
    </w:lvl>
    <w:lvl w:ilvl="5" w:tentative="0">
      <w:start w:val="1"/>
      <w:numFmt w:val="decimal"/>
      <w:lvlText w:val="%1.%2.%3.%4.%5.%6"/>
      <w:lvlJc w:val="left"/>
      <w:pPr>
        <w:tabs>
          <w:tab w:val="left" w:pos="1634"/>
        </w:tabs>
        <w:ind w:left="1634" w:hanging="1152"/>
      </w:pPr>
      <w:rPr>
        <w:rFonts w:hint="eastAsia"/>
      </w:rPr>
    </w:lvl>
    <w:lvl w:ilvl="6" w:tentative="0">
      <w:start w:val="1"/>
      <w:numFmt w:val="decimal"/>
      <w:lvlText w:val="%1.%2.%3.%4.%5.%6.%7"/>
      <w:lvlJc w:val="left"/>
      <w:pPr>
        <w:tabs>
          <w:tab w:val="left" w:pos="1778"/>
        </w:tabs>
        <w:ind w:left="1778" w:hanging="1296"/>
      </w:pPr>
      <w:rPr>
        <w:rFonts w:hint="eastAsia"/>
      </w:rPr>
    </w:lvl>
    <w:lvl w:ilvl="7" w:tentative="0">
      <w:start w:val="1"/>
      <w:numFmt w:val="decimal"/>
      <w:lvlText w:val="%1.%2.%3.%4.%5.%6.%7.%8"/>
      <w:lvlJc w:val="left"/>
      <w:pPr>
        <w:tabs>
          <w:tab w:val="left" w:pos="1922"/>
        </w:tabs>
        <w:ind w:left="1922" w:hanging="1440"/>
      </w:pPr>
      <w:rPr>
        <w:rFonts w:hint="eastAsia"/>
      </w:rPr>
    </w:lvl>
    <w:lvl w:ilvl="8" w:tentative="0">
      <w:start w:val="1"/>
      <w:numFmt w:val="decimal"/>
      <w:lvlText w:val="%1.%2.%3.%4.%5.%6.%7.%8.%9"/>
      <w:lvlJc w:val="left"/>
      <w:pPr>
        <w:tabs>
          <w:tab w:val="left" w:pos="2066"/>
        </w:tabs>
        <w:ind w:left="2066" w:hanging="1584"/>
      </w:pPr>
      <w:rPr>
        <w:rFonts w:hint="eastAsia"/>
      </w:rPr>
    </w:lvl>
  </w:abstractNum>
  <w:abstractNum w:abstractNumId="4">
    <w:nsid w:val="0DB179E6"/>
    <w:multiLevelType w:val="multilevel"/>
    <w:tmpl w:val="0DB179E6"/>
    <w:lvl w:ilvl="0" w:tentative="0">
      <w:start w:val="1"/>
      <w:numFmt w:val="decimal"/>
      <w:pStyle w:val="135"/>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F031249"/>
    <w:multiLevelType w:val="multilevel"/>
    <w:tmpl w:val="0F031249"/>
    <w:lvl w:ilvl="0" w:tentative="0">
      <w:start w:val="1"/>
      <w:numFmt w:val="decimal"/>
      <w:pStyle w:val="2"/>
      <w:suff w:val="nothing"/>
      <w:lvlText w:val="第%1章"/>
      <w:lvlJc w:val="left"/>
      <w:pPr>
        <w:ind w:left="432" w:hanging="432"/>
      </w:pPr>
      <w:rPr>
        <w:rFonts w:hint="eastAsia"/>
      </w:rPr>
    </w:lvl>
    <w:lvl w:ilvl="1" w:tentative="0">
      <w:start w:val="1"/>
      <w:numFmt w:val="decimal"/>
      <w:pStyle w:val="3"/>
      <w:suff w:val="nothing"/>
      <w:lvlText w:val="%1.%2"/>
      <w:lvlJc w:val="left"/>
      <w:pPr>
        <w:ind w:left="576" w:hanging="576"/>
      </w:pPr>
      <w:rPr>
        <w:rFonts w:hint="eastAsia"/>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nothing"/>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6">
    <w:nsid w:val="143746D1"/>
    <w:multiLevelType w:val="multilevel"/>
    <w:tmpl w:val="143746D1"/>
    <w:lvl w:ilvl="0" w:tentative="0">
      <w:start w:val="1"/>
      <w:numFmt w:val="bullet"/>
      <w:pStyle w:val="14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Times New Roman" w:hAnsi="Times New Roman" w:cs="Times New Roman"/>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3CD339B4"/>
    <w:multiLevelType w:val="multilevel"/>
    <w:tmpl w:val="3CD339B4"/>
    <w:lvl w:ilvl="0" w:tentative="0">
      <w:start w:val="1"/>
      <w:numFmt w:val="decimal"/>
      <w:suff w:val="noth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8F47CD5"/>
    <w:multiLevelType w:val="multilevel"/>
    <w:tmpl w:val="48F47CD5"/>
    <w:lvl w:ilvl="0" w:tentative="0">
      <w:start w:val="1"/>
      <w:numFmt w:val="decimal"/>
      <w:pStyle w:val="118"/>
      <w:lvlText w:val="%1."/>
      <w:lvlJc w:val="left"/>
      <w:pPr>
        <w:tabs>
          <w:tab w:val="left" w:pos="907"/>
        </w:tabs>
        <w:ind w:left="907" w:hanging="504"/>
      </w:pPr>
      <w:rPr>
        <w:b w:val="0"/>
      </w:rPr>
    </w:lvl>
    <w:lvl w:ilvl="1" w:tentative="0">
      <w:start w:val="1"/>
      <w:numFmt w:val="decimal"/>
      <w:lvlText w:val="%2．"/>
      <w:lvlJc w:val="left"/>
      <w:pPr>
        <w:tabs>
          <w:tab w:val="left" w:pos="1140"/>
        </w:tabs>
        <w:ind w:left="1140" w:hanging="720"/>
      </w:pPr>
      <w:rPr>
        <w:rFonts w:hint="default"/>
      </w:rPr>
    </w:lvl>
    <w:lvl w:ilvl="2" w:tentative="0">
      <w:start w:val="1"/>
      <w:numFmt w:val="decimal"/>
      <w:lvlText w:val="%3）"/>
      <w:lvlJc w:val="left"/>
      <w:pPr>
        <w:tabs>
          <w:tab w:val="left" w:pos="1935"/>
        </w:tabs>
        <w:ind w:left="1935" w:hanging="109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decimal"/>
      <w:lvlText w:val="%6、"/>
      <w:lvlJc w:val="left"/>
      <w:pPr>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F26077A"/>
    <w:multiLevelType w:val="multilevel"/>
    <w:tmpl w:val="5F26077A"/>
    <w:lvl w:ilvl="0" w:tentative="0">
      <w:start w:val="1"/>
      <w:numFmt w:val="bullet"/>
      <w:pStyle w:val="138"/>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10">
    <w:nsid w:val="5F587E7A"/>
    <w:multiLevelType w:val="multilevel"/>
    <w:tmpl w:val="5F587E7A"/>
    <w:lvl w:ilvl="0" w:tentative="0">
      <w:start w:val="1"/>
      <w:numFmt w:val="chineseCountingThousand"/>
      <w:pStyle w:val="133"/>
      <w:lvlText w:val="%1、"/>
      <w:lvlJc w:val="left"/>
      <w:pPr>
        <w:tabs>
          <w:tab w:val="left" w:pos="420"/>
        </w:tabs>
        <w:ind w:left="420" w:hanging="420"/>
      </w:pPr>
      <w:rPr>
        <w:rFonts w:hint="default"/>
        <w:b/>
        <w:i w:val="0"/>
        <w:sz w:val="44"/>
      </w:rPr>
    </w:lvl>
    <w:lvl w:ilvl="1" w:tentative="0">
      <w:start w:val="1"/>
      <w:numFmt w:val="decimal"/>
      <w:lvlText w:val="%1.%2"/>
      <w:lvlJc w:val="left"/>
      <w:pPr>
        <w:tabs>
          <w:tab w:val="left" w:pos="576"/>
        </w:tabs>
        <w:ind w:left="576" w:hanging="576"/>
      </w:pPr>
      <w:rPr>
        <w:rFonts w:hint="default"/>
        <w:b w:val="0"/>
        <w:i w:val="0"/>
        <w:sz w:val="30"/>
      </w:rPr>
    </w:lvl>
    <w:lvl w:ilvl="2" w:tentative="0">
      <w:start w:val="1"/>
      <w:numFmt w:val="decimal"/>
      <w:lvlText w:val="%1.%2.%3"/>
      <w:lvlJc w:val="left"/>
      <w:pPr>
        <w:tabs>
          <w:tab w:val="left" w:pos="720"/>
        </w:tabs>
        <w:ind w:left="720" w:hanging="720"/>
      </w:pPr>
      <w:rPr>
        <w:rFonts w:hint="default" w:ascii="Times New Roman" w:hAnsi="Times New Roman" w:cs="Times New Roman"/>
        <w:sz w:val="28"/>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657D3FBC"/>
    <w:multiLevelType w:val="multilevel"/>
    <w:tmpl w:val="657D3FBC"/>
    <w:lvl w:ilvl="0" w:tentative="0">
      <w:start w:val="1"/>
      <w:numFmt w:val="upperLetter"/>
      <w:pStyle w:val="164"/>
      <w:suff w:val="nothing"/>
      <w:lvlText w:val="附录%1  "/>
      <w:lvlJc w:val="left"/>
      <w:pPr>
        <w:ind w:left="0" w:firstLine="0"/>
      </w:pPr>
      <w:rPr>
        <w:rFonts w:hint="eastAsia" w:ascii="黑体" w:hAnsi="Times New Roman" w:eastAsia="黑体"/>
        <w:b w:val="0"/>
        <w:i w:val="0"/>
        <w:sz w:val="21"/>
        <w:szCs w:val="21"/>
      </w:rPr>
    </w:lvl>
    <w:lvl w:ilvl="1" w:tentative="0">
      <w:start w:val="1"/>
      <w:numFmt w:val="decimal"/>
      <w:pStyle w:val="170"/>
      <w:suff w:val="nothing"/>
      <w:lvlText w:val="%1.%2　"/>
      <w:lvlJc w:val="left"/>
      <w:pPr>
        <w:ind w:left="0" w:firstLine="0"/>
      </w:pPr>
      <w:rPr>
        <w:rFonts w:hint="eastAsia" w:ascii="黑体" w:hAnsi="Times New Roman" w:eastAsia="黑体"/>
        <w:b w:val="0"/>
        <w:i w:val="0"/>
        <w:snapToGrid/>
        <w:spacing w:val="0"/>
        <w:w w:val="100"/>
        <w:kern w:val="21"/>
        <w:sz w:val="21"/>
        <w:szCs w:val="21"/>
      </w:rPr>
    </w:lvl>
    <w:lvl w:ilvl="2" w:tentative="0">
      <w:start w:val="1"/>
      <w:numFmt w:val="decimal"/>
      <w:pStyle w:val="169"/>
      <w:suff w:val="nothing"/>
      <w:lvlText w:val="%1.%2.%3　"/>
      <w:lvlJc w:val="left"/>
      <w:pPr>
        <w:ind w:left="1800" w:firstLine="0"/>
      </w:pPr>
      <w:rPr>
        <w:rFonts w:hint="eastAsia" w:ascii="黑体" w:hAnsi="Times New Roman" w:eastAsia="黑体"/>
        <w:b w:val="0"/>
        <w:i w:val="0"/>
        <w:sz w:val="21"/>
      </w:rPr>
    </w:lvl>
    <w:lvl w:ilvl="3" w:tentative="0">
      <w:start w:val="1"/>
      <w:numFmt w:val="decimal"/>
      <w:pStyle w:val="165"/>
      <w:suff w:val="nothing"/>
      <w:lvlText w:val="%1.%2.%3.%4　"/>
      <w:lvlJc w:val="left"/>
      <w:pPr>
        <w:ind w:left="0" w:firstLine="0"/>
      </w:pPr>
      <w:rPr>
        <w:rFonts w:hint="eastAsia" w:ascii="黑体" w:hAnsi="Times New Roman" w:eastAsia="黑体"/>
        <w:b w:val="0"/>
        <w:i w:val="0"/>
        <w:sz w:val="21"/>
      </w:rPr>
    </w:lvl>
    <w:lvl w:ilvl="4" w:tentative="0">
      <w:start w:val="1"/>
      <w:numFmt w:val="decimal"/>
      <w:pStyle w:val="166"/>
      <w:suff w:val="nothing"/>
      <w:lvlText w:val="%1.%2.%3.%4.%5　"/>
      <w:lvlJc w:val="left"/>
      <w:pPr>
        <w:ind w:left="0" w:firstLine="0"/>
      </w:pPr>
      <w:rPr>
        <w:rFonts w:hint="eastAsia" w:ascii="黑体" w:hAnsi="Times New Roman" w:eastAsia="黑体"/>
        <w:b w:val="0"/>
        <w:i w:val="0"/>
        <w:sz w:val="21"/>
      </w:rPr>
    </w:lvl>
    <w:lvl w:ilvl="5" w:tentative="0">
      <w:start w:val="1"/>
      <w:numFmt w:val="decimal"/>
      <w:pStyle w:val="167"/>
      <w:suff w:val="nothing"/>
      <w:lvlText w:val="%1.%2.%3.%4.%5.%6　"/>
      <w:lvlJc w:val="left"/>
      <w:pPr>
        <w:ind w:left="0" w:firstLine="0"/>
      </w:pPr>
      <w:rPr>
        <w:rFonts w:hint="eastAsia" w:ascii="黑体" w:hAnsi="Times New Roman" w:eastAsia="黑体"/>
        <w:b w:val="0"/>
        <w:i w:val="0"/>
        <w:sz w:val="21"/>
      </w:rPr>
    </w:lvl>
    <w:lvl w:ilvl="6" w:tentative="0">
      <w:start w:val="1"/>
      <w:numFmt w:val="decimal"/>
      <w:pStyle w:val="16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7EE14AF4"/>
    <w:multiLevelType w:val="multilevel"/>
    <w:tmpl w:val="7EE14AF4"/>
    <w:lvl w:ilvl="0" w:tentative="0">
      <w:start w:val="0"/>
      <w:numFmt w:val="decimal"/>
      <w:lvlText w:val=""/>
      <w:lvlJc w:val="left"/>
    </w:lvl>
    <w:lvl w:ilvl="1" w:tentative="0">
      <w:start w:val="0"/>
      <w:numFmt w:val="decimal"/>
      <w:pStyle w:val="149"/>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5"/>
  </w:num>
  <w:num w:numId="2">
    <w:abstractNumId w:val="1"/>
  </w:num>
  <w:num w:numId="3">
    <w:abstractNumId w:val="8"/>
  </w:num>
  <w:num w:numId="4">
    <w:abstractNumId w:val="10"/>
  </w:num>
  <w:num w:numId="5">
    <w:abstractNumId w:val="4"/>
  </w:num>
  <w:num w:numId="6">
    <w:abstractNumId w:val="0"/>
  </w:num>
  <w:num w:numId="7">
    <w:abstractNumId w:val="9"/>
  </w:num>
  <w:num w:numId="8">
    <w:abstractNumId w:val="2"/>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6D"/>
    <w:rsid w:val="000008DA"/>
    <w:rsid w:val="00000DDA"/>
    <w:rsid w:val="00000DF0"/>
    <w:rsid w:val="00000FCC"/>
    <w:rsid w:val="00002292"/>
    <w:rsid w:val="000024FE"/>
    <w:rsid w:val="00002D01"/>
    <w:rsid w:val="00003C42"/>
    <w:rsid w:val="00004625"/>
    <w:rsid w:val="000048CC"/>
    <w:rsid w:val="000048DE"/>
    <w:rsid w:val="00005F7A"/>
    <w:rsid w:val="00006194"/>
    <w:rsid w:val="00006502"/>
    <w:rsid w:val="00006B00"/>
    <w:rsid w:val="00006BD2"/>
    <w:rsid w:val="000075B1"/>
    <w:rsid w:val="00007634"/>
    <w:rsid w:val="0001040B"/>
    <w:rsid w:val="0001125D"/>
    <w:rsid w:val="00011348"/>
    <w:rsid w:val="000124E2"/>
    <w:rsid w:val="000139F6"/>
    <w:rsid w:val="00013A19"/>
    <w:rsid w:val="00013E68"/>
    <w:rsid w:val="000141E7"/>
    <w:rsid w:val="00014AF0"/>
    <w:rsid w:val="0001651C"/>
    <w:rsid w:val="00017156"/>
    <w:rsid w:val="00017201"/>
    <w:rsid w:val="00017C72"/>
    <w:rsid w:val="0002020E"/>
    <w:rsid w:val="0002104D"/>
    <w:rsid w:val="000217EE"/>
    <w:rsid w:val="00021C2F"/>
    <w:rsid w:val="000224F0"/>
    <w:rsid w:val="00022E86"/>
    <w:rsid w:val="00023741"/>
    <w:rsid w:val="00023F2B"/>
    <w:rsid w:val="00024182"/>
    <w:rsid w:val="000254AA"/>
    <w:rsid w:val="0002581D"/>
    <w:rsid w:val="000262E0"/>
    <w:rsid w:val="000303FC"/>
    <w:rsid w:val="000307A8"/>
    <w:rsid w:val="0003160B"/>
    <w:rsid w:val="00031E3E"/>
    <w:rsid w:val="000324D8"/>
    <w:rsid w:val="0003348E"/>
    <w:rsid w:val="000341DF"/>
    <w:rsid w:val="00035928"/>
    <w:rsid w:val="00035B57"/>
    <w:rsid w:val="00035C03"/>
    <w:rsid w:val="00035F13"/>
    <w:rsid w:val="00036737"/>
    <w:rsid w:val="000376A2"/>
    <w:rsid w:val="00037882"/>
    <w:rsid w:val="0003791E"/>
    <w:rsid w:val="000401C8"/>
    <w:rsid w:val="000404C5"/>
    <w:rsid w:val="000406BD"/>
    <w:rsid w:val="00041314"/>
    <w:rsid w:val="0004312F"/>
    <w:rsid w:val="00043C90"/>
    <w:rsid w:val="00044DE4"/>
    <w:rsid w:val="00045068"/>
    <w:rsid w:val="00045A9A"/>
    <w:rsid w:val="0004613A"/>
    <w:rsid w:val="00046B68"/>
    <w:rsid w:val="000475B4"/>
    <w:rsid w:val="00047E86"/>
    <w:rsid w:val="000512BF"/>
    <w:rsid w:val="000543B8"/>
    <w:rsid w:val="000559AB"/>
    <w:rsid w:val="00056097"/>
    <w:rsid w:val="0005657E"/>
    <w:rsid w:val="00056D0A"/>
    <w:rsid w:val="000571DC"/>
    <w:rsid w:val="00057A57"/>
    <w:rsid w:val="00060DB4"/>
    <w:rsid w:val="00061CF2"/>
    <w:rsid w:val="000624D2"/>
    <w:rsid w:val="0006279C"/>
    <w:rsid w:val="00063710"/>
    <w:rsid w:val="00064527"/>
    <w:rsid w:val="00064ACB"/>
    <w:rsid w:val="00065C3F"/>
    <w:rsid w:val="00066083"/>
    <w:rsid w:val="0006686F"/>
    <w:rsid w:val="00066BAF"/>
    <w:rsid w:val="00066EA2"/>
    <w:rsid w:val="00067124"/>
    <w:rsid w:val="00072421"/>
    <w:rsid w:val="00074348"/>
    <w:rsid w:val="0007455F"/>
    <w:rsid w:val="000753BC"/>
    <w:rsid w:val="00075AF6"/>
    <w:rsid w:val="000763D9"/>
    <w:rsid w:val="00076477"/>
    <w:rsid w:val="00076E2B"/>
    <w:rsid w:val="000774D2"/>
    <w:rsid w:val="00077C2A"/>
    <w:rsid w:val="00077C68"/>
    <w:rsid w:val="000809FC"/>
    <w:rsid w:val="00081318"/>
    <w:rsid w:val="000819D6"/>
    <w:rsid w:val="00081C2D"/>
    <w:rsid w:val="000823AC"/>
    <w:rsid w:val="000824E2"/>
    <w:rsid w:val="0008283F"/>
    <w:rsid w:val="0008293E"/>
    <w:rsid w:val="00083648"/>
    <w:rsid w:val="0008538F"/>
    <w:rsid w:val="0008562C"/>
    <w:rsid w:val="0008569B"/>
    <w:rsid w:val="00085B90"/>
    <w:rsid w:val="00086BA9"/>
    <w:rsid w:val="00086DE6"/>
    <w:rsid w:val="000903D7"/>
    <w:rsid w:val="00090742"/>
    <w:rsid w:val="00090C36"/>
    <w:rsid w:val="00091A8A"/>
    <w:rsid w:val="00091C5A"/>
    <w:rsid w:val="00091D52"/>
    <w:rsid w:val="00097283"/>
    <w:rsid w:val="00097502"/>
    <w:rsid w:val="00097662"/>
    <w:rsid w:val="000A1B2C"/>
    <w:rsid w:val="000A21D7"/>
    <w:rsid w:val="000A3BE2"/>
    <w:rsid w:val="000A431E"/>
    <w:rsid w:val="000A4C0B"/>
    <w:rsid w:val="000A5809"/>
    <w:rsid w:val="000A5E2A"/>
    <w:rsid w:val="000A643E"/>
    <w:rsid w:val="000A65EF"/>
    <w:rsid w:val="000A686D"/>
    <w:rsid w:val="000A7267"/>
    <w:rsid w:val="000A7409"/>
    <w:rsid w:val="000A74BE"/>
    <w:rsid w:val="000A7802"/>
    <w:rsid w:val="000B029C"/>
    <w:rsid w:val="000B02BC"/>
    <w:rsid w:val="000B057B"/>
    <w:rsid w:val="000B1C68"/>
    <w:rsid w:val="000B1DFB"/>
    <w:rsid w:val="000B25B3"/>
    <w:rsid w:val="000B2BCB"/>
    <w:rsid w:val="000B2EEA"/>
    <w:rsid w:val="000B30BD"/>
    <w:rsid w:val="000B45EA"/>
    <w:rsid w:val="000B496A"/>
    <w:rsid w:val="000B49B3"/>
    <w:rsid w:val="000B4A87"/>
    <w:rsid w:val="000B5725"/>
    <w:rsid w:val="000B573A"/>
    <w:rsid w:val="000B5ABA"/>
    <w:rsid w:val="000B5E79"/>
    <w:rsid w:val="000B62E9"/>
    <w:rsid w:val="000B7B17"/>
    <w:rsid w:val="000C18F7"/>
    <w:rsid w:val="000C1D2D"/>
    <w:rsid w:val="000C21E7"/>
    <w:rsid w:val="000C26AD"/>
    <w:rsid w:val="000C333C"/>
    <w:rsid w:val="000C35C4"/>
    <w:rsid w:val="000C3D6D"/>
    <w:rsid w:val="000C530D"/>
    <w:rsid w:val="000C5729"/>
    <w:rsid w:val="000C59EE"/>
    <w:rsid w:val="000C68A6"/>
    <w:rsid w:val="000C76BA"/>
    <w:rsid w:val="000D0729"/>
    <w:rsid w:val="000D15AD"/>
    <w:rsid w:val="000D1817"/>
    <w:rsid w:val="000D1B72"/>
    <w:rsid w:val="000D2D3B"/>
    <w:rsid w:val="000D6DA0"/>
    <w:rsid w:val="000D7530"/>
    <w:rsid w:val="000D7B85"/>
    <w:rsid w:val="000E12A3"/>
    <w:rsid w:val="000E1709"/>
    <w:rsid w:val="000E17BD"/>
    <w:rsid w:val="000E2538"/>
    <w:rsid w:val="000E36D0"/>
    <w:rsid w:val="000E6608"/>
    <w:rsid w:val="000E764F"/>
    <w:rsid w:val="000E7655"/>
    <w:rsid w:val="000E77FB"/>
    <w:rsid w:val="000E7D22"/>
    <w:rsid w:val="000F14B3"/>
    <w:rsid w:val="000F2045"/>
    <w:rsid w:val="000F216F"/>
    <w:rsid w:val="000F22FE"/>
    <w:rsid w:val="000F2CDF"/>
    <w:rsid w:val="000F3891"/>
    <w:rsid w:val="000F57BE"/>
    <w:rsid w:val="000F5936"/>
    <w:rsid w:val="000F6440"/>
    <w:rsid w:val="000F648B"/>
    <w:rsid w:val="000F69B5"/>
    <w:rsid w:val="000F6A4B"/>
    <w:rsid w:val="000F6EBB"/>
    <w:rsid w:val="000F782F"/>
    <w:rsid w:val="000F7A2E"/>
    <w:rsid w:val="0010046A"/>
    <w:rsid w:val="00100F73"/>
    <w:rsid w:val="001012F2"/>
    <w:rsid w:val="001016B2"/>
    <w:rsid w:val="00101A62"/>
    <w:rsid w:val="00102C00"/>
    <w:rsid w:val="0010300C"/>
    <w:rsid w:val="001032DF"/>
    <w:rsid w:val="0010386E"/>
    <w:rsid w:val="001048D2"/>
    <w:rsid w:val="00105294"/>
    <w:rsid w:val="00105355"/>
    <w:rsid w:val="001055AA"/>
    <w:rsid w:val="001062BA"/>
    <w:rsid w:val="00106627"/>
    <w:rsid w:val="00106C5A"/>
    <w:rsid w:val="001073BF"/>
    <w:rsid w:val="00110104"/>
    <w:rsid w:val="001105CD"/>
    <w:rsid w:val="00110967"/>
    <w:rsid w:val="00111338"/>
    <w:rsid w:val="00112291"/>
    <w:rsid w:val="00113779"/>
    <w:rsid w:val="00114638"/>
    <w:rsid w:val="00114685"/>
    <w:rsid w:val="00115110"/>
    <w:rsid w:val="001158C6"/>
    <w:rsid w:val="00115FF6"/>
    <w:rsid w:val="00116376"/>
    <w:rsid w:val="001164BA"/>
    <w:rsid w:val="00117076"/>
    <w:rsid w:val="0012034F"/>
    <w:rsid w:val="00120523"/>
    <w:rsid w:val="0012168D"/>
    <w:rsid w:val="001225EB"/>
    <w:rsid w:val="001228CC"/>
    <w:rsid w:val="00122EE6"/>
    <w:rsid w:val="0012358C"/>
    <w:rsid w:val="00125AD5"/>
    <w:rsid w:val="001274EE"/>
    <w:rsid w:val="00127F47"/>
    <w:rsid w:val="0013020D"/>
    <w:rsid w:val="00130398"/>
    <w:rsid w:val="001304C9"/>
    <w:rsid w:val="001308DE"/>
    <w:rsid w:val="001310D4"/>
    <w:rsid w:val="00131D68"/>
    <w:rsid w:val="00133158"/>
    <w:rsid w:val="001346D1"/>
    <w:rsid w:val="0013497D"/>
    <w:rsid w:val="001350BD"/>
    <w:rsid w:val="00135718"/>
    <w:rsid w:val="0013584D"/>
    <w:rsid w:val="001366CD"/>
    <w:rsid w:val="00136817"/>
    <w:rsid w:val="00137F06"/>
    <w:rsid w:val="001400E0"/>
    <w:rsid w:val="00140220"/>
    <w:rsid w:val="00140BA0"/>
    <w:rsid w:val="001414F2"/>
    <w:rsid w:val="00142646"/>
    <w:rsid w:val="0014322F"/>
    <w:rsid w:val="00143C3F"/>
    <w:rsid w:val="001440E7"/>
    <w:rsid w:val="0014439F"/>
    <w:rsid w:val="00144D68"/>
    <w:rsid w:val="00146A83"/>
    <w:rsid w:val="001476E4"/>
    <w:rsid w:val="00147773"/>
    <w:rsid w:val="0014795A"/>
    <w:rsid w:val="001501D0"/>
    <w:rsid w:val="00150A4E"/>
    <w:rsid w:val="00150B31"/>
    <w:rsid w:val="00151034"/>
    <w:rsid w:val="00151764"/>
    <w:rsid w:val="0015183A"/>
    <w:rsid w:val="00151E80"/>
    <w:rsid w:val="00152866"/>
    <w:rsid w:val="001531D2"/>
    <w:rsid w:val="001532EC"/>
    <w:rsid w:val="001541C7"/>
    <w:rsid w:val="0015435B"/>
    <w:rsid w:val="0015476C"/>
    <w:rsid w:val="001547C0"/>
    <w:rsid w:val="00154C97"/>
    <w:rsid w:val="00155887"/>
    <w:rsid w:val="001559B9"/>
    <w:rsid w:val="00155BA5"/>
    <w:rsid w:val="00155CDD"/>
    <w:rsid w:val="00156B2A"/>
    <w:rsid w:val="00156DDE"/>
    <w:rsid w:val="00157409"/>
    <w:rsid w:val="00157AA7"/>
    <w:rsid w:val="00157D27"/>
    <w:rsid w:val="0016005C"/>
    <w:rsid w:val="00160153"/>
    <w:rsid w:val="0016067D"/>
    <w:rsid w:val="00160CE4"/>
    <w:rsid w:val="00160EB3"/>
    <w:rsid w:val="00160F1D"/>
    <w:rsid w:val="00161137"/>
    <w:rsid w:val="0016184F"/>
    <w:rsid w:val="00161D25"/>
    <w:rsid w:val="00162326"/>
    <w:rsid w:val="0016300E"/>
    <w:rsid w:val="0016491D"/>
    <w:rsid w:val="00165130"/>
    <w:rsid w:val="00165132"/>
    <w:rsid w:val="00166B62"/>
    <w:rsid w:val="00166F54"/>
    <w:rsid w:val="00166FC0"/>
    <w:rsid w:val="00167C84"/>
    <w:rsid w:val="00171123"/>
    <w:rsid w:val="0017144F"/>
    <w:rsid w:val="00171789"/>
    <w:rsid w:val="00171857"/>
    <w:rsid w:val="001721EA"/>
    <w:rsid w:val="00172315"/>
    <w:rsid w:val="00172393"/>
    <w:rsid w:val="00172F7F"/>
    <w:rsid w:val="001742D9"/>
    <w:rsid w:val="001746B8"/>
    <w:rsid w:val="001747DD"/>
    <w:rsid w:val="00174CBF"/>
    <w:rsid w:val="00175066"/>
    <w:rsid w:val="0017551D"/>
    <w:rsid w:val="001756BC"/>
    <w:rsid w:val="00176143"/>
    <w:rsid w:val="001770B5"/>
    <w:rsid w:val="00177642"/>
    <w:rsid w:val="0017773B"/>
    <w:rsid w:val="001800C6"/>
    <w:rsid w:val="00180123"/>
    <w:rsid w:val="0018212D"/>
    <w:rsid w:val="00182558"/>
    <w:rsid w:val="00182FDB"/>
    <w:rsid w:val="001833B9"/>
    <w:rsid w:val="001839FA"/>
    <w:rsid w:val="00183DDA"/>
    <w:rsid w:val="00185FB7"/>
    <w:rsid w:val="00186E53"/>
    <w:rsid w:val="001874F2"/>
    <w:rsid w:val="001875CF"/>
    <w:rsid w:val="001906D2"/>
    <w:rsid w:val="001923C0"/>
    <w:rsid w:val="0019267B"/>
    <w:rsid w:val="0019323D"/>
    <w:rsid w:val="001952CC"/>
    <w:rsid w:val="00195F46"/>
    <w:rsid w:val="00196126"/>
    <w:rsid w:val="0019638C"/>
    <w:rsid w:val="00197768"/>
    <w:rsid w:val="00197770"/>
    <w:rsid w:val="001977BE"/>
    <w:rsid w:val="00197F88"/>
    <w:rsid w:val="001A07A9"/>
    <w:rsid w:val="001A1728"/>
    <w:rsid w:val="001A21B5"/>
    <w:rsid w:val="001A28E7"/>
    <w:rsid w:val="001A3F94"/>
    <w:rsid w:val="001A44AA"/>
    <w:rsid w:val="001A44D1"/>
    <w:rsid w:val="001A480E"/>
    <w:rsid w:val="001A513F"/>
    <w:rsid w:val="001A514D"/>
    <w:rsid w:val="001A69B9"/>
    <w:rsid w:val="001A6C42"/>
    <w:rsid w:val="001B1C88"/>
    <w:rsid w:val="001B2B17"/>
    <w:rsid w:val="001B34F4"/>
    <w:rsid w:val="001B36ED"/>
    <w:rsid w:val="001B3F9F"/>
    <w:rsid w:val="001B40F8"/>
    <w:rsid w:val="001B4AC5"/>
    <w:rsid w:val="001B4B45"/>
    <w:rsid w:val="001B4F20"/>
    <w:rsid w:val="001B5BC7"/>
    <w:rsid w:val="001B6C30"/>
    <w:rsid w:val="001B7D4A"/>
    <w:rsid w:val="001C0AC0"/>
    <w:rsid w:val="001C1865"/>
    <w:rsid w:val="001C2907"/>
    <w:rsid w:val="001C2FEE"/>
    <w:rsid w:val="001C3411"/>
    <w:rsid w:val="001C3F66"/>
    <w:rsid w:val="001C55F0"/>
    <w:rsid w:val="001C5697"/>
    <w:rsid w:val="001C6835"/>
    <w:rsid w:val="001C6976"/>
    <w:rsid w:val="001C7344"/>
    <w:rsid w:val="001D0535"/>
    <w:rsid w:val="001D0BD0"/>
    <w:rsid w:val="001D0D48"/>
    <w:rsid w:val="001D1C1D"/>
    <w:rsid w:val="001D2277"/>
    <w:rsid w:val="001D318E"/>
    <w:rsid w:val="001D34C1"/>
    <w:rsid w:val="001D43A5"/>
    <w:rsid w:val="001D43E7"/>
    <w:rsid w:val="001D4550"/>
    <w:rsid w:val="001D50AC"/>
    <w:rsid w:val="001D5330"/>
    <w:rsid w:val="001D53F9"/>
    <w:rsid w:val="001D5C8C"/>
    <w:rsid w:val="001D5CCA"/>
    <w:rsid w:val="001D72EE"/>
    <w:rsid w:val="001D783E"/>
    <w:rsid w:val="001E0FB3"/>
    <w:rsid w:val="001E2106"/>
    <w:rsid w:val="001E2506"/>
    <w:rsid w:val="001E3058"/>
    <w:rsid w:val="001E3C5B"/>
    <w:rsid w:val="001E46DF"/>
    <w:rsid w:val="001E49C3"/>
    <w:rsid w:val="001E4A54"/>
    <w:rsid w:val="001E53ED"/>
    <w:rsid w:val="001E5636"/>
    <w:rsid w:val="001E568A"/>
    <w:rsid w:val="001E7071"/>
    <w:rsid w:val="001E7480"/>
    <w:rsid w:val="001F0A91"/>
    <w:rsid w:val="001F0D98"/>
    <w:rsid w:val="001F113E"/>
    <w:rsid w:val="001F1DA0"/>
    <w:rsid w:val="001F1E47"/>
    <w:rsid w:val="001F2511"/>
    <w:rsid w:val="001F3279"/>
    <w:rsid w:val="001F34F4"/>
    <w:rsid w:val="001F35DC"/>
    <w:rsid w:val="001F4A4D"/>
    <w:rsid w:val="001F4C4B"/>
    <w:rsid w:val="001F4E7F"/>
    <w:rsid w:val="001F4E94"/>
    <w:rsid w:val="001F6246"/>
    <w:rsid w:val="001F6AE5"/>
    <w:rsid w:val="001F6E7E"/>
    <w:rsid w:val="001F71A1"/>
    <w:rsid w:val="001F7218"/>
    <w:rsid w:val="001F7B9B"/>
    <w:rsid w:val="00201181"/>
    <w:rsid w:val="00203C59"/>
    <w:rsid w:val="002042C7"/>
    <w:rsid w:val="00204773"/>
    <w:rsid w:val="00204A58"/>
    <w:rsid w:val="00204BDA"/>
    <w:rsid w:val="00204DC5"/>
    <w:rsid w:val="00205431"/>
    <w:rsid w:val="00206066"/>
    <w:rsid w:val="00206845"/>
    <w:rsid w:val="00206D7A"/>
    <w:rsid w:val="00210618"/>
    <w:rsid w:val="002108AE"/>
    <w:rsid w:val="002113DC"/>
    <w:rsid w:val="002116B8"/>
    <w:rsid w:val="00212CB9"/>
    <w:rsid w:val="00213EC4"/>
    <w:rsid w:val="0021429C"/>
    <w:rsid w:val="00214888"/>
    <w:rsid w:val="002176E4"/>
    <w:rsid w:val="00217C86"/>
    <w:rsid w:val="00220A42"/>
    <w:rsid w:val="00221692"/>
    <w:rsid w:val="00222538"/>
    <w:rsid w:val="002226B6"/>
    <w:rsid w:val="00222BEB"/>
    <w:rsid w:val="00222BEC"/>
    <w:rsid w:val="0022319A"/>
    <w:rsid w:val="002238A7"/>
    <w:rsid w:val="00224628"/>
    <w:rsid w:val="0022496E"/>
    <w:rsid w:val="00224EFF"/>
    <w:rsid w:val="00225F30"/>
    <w:rsid w:val="0022703D"/>
    <w:rsid w:val="00227249"/>
    <w:rsid w:val="002311AB"/>
    <w:rsid w:val="002313BB"/>
    <w:rsid w:val="00231981"/>
    <w:rsid w:val="00233512"/>
    <w:rsid w:val="00233DC6"/>
    <w:rsid w:val="00233DCF"/>
    <w:rsid w:val="00234A1B"/>
    <w:rsid w:val="002351B1"/>
    <w:rsid w:val="00235B2C"/>
    <w:rsid w:val="00236073"/>
    <w:rsid w:val="00236259"/>
    <w:rsid w:val="0023631C"/>
    <w:rsid w:val="00236FA5"/>
    <w:rsid w:val="002373DA"/>
    <w:rsid w:val="00237A12"/>
    <w:rsid w:val="00237EE1"/>
    <w:rsid w:val="00240273"/>
    <w:rsid w:val="00240416"/>
    <w:rsid w:val="0024075E"/>
    <w:rsid w:val="00241098"/>
    <w:rsid w:val="00241D20"/>
    <w:rsid w:val="00242077"/>
    <w:rsid w:val="00243741"/>
    <w:rsid w:val="002442D3"/>
    <w:rsid w:val="00244AFE"/>
    <w:rsid w:val="00245119"/>
    <w:rsid w:val="00245698"/>
    <w:rsid w:val="002458ED"/>
    <w:rsid w:val="00246279"/>
    <w:rsid w:val="0024769A"/>
    <w:rsid w:val="00251825"/>
    <w:rsid w:val="00254361"/>
    <w:rsid w:val="0025441D"/>
    <w:rsid w:val="00254B55"/>
    <w:rsid w:val="00254D18"/>
    <w:rsid w:val="002559FD"/>
    <w:rsid w:val="00255A49"/>
    <w:rsid w:val="0025606C"/>
    <w:rsid w:val="00256190"/>
    <w:rsid w:val="00256BC8"/>
    <w:rsid w:val="00256DEC"/>
    <w:rsid w:val="0025702F"/>
    <w:rsid w:val="00257634"/>
    <w:rsid w:val="00260DE3"/>
    <w:rsid w:val="00261073"/>
    <w:rsid w:val="00261F46"/>
    <w:rsid w:val="00262740"/>
    <w:rsid w:val="00262F55"/>
    <w:rsid w:val="00263826"/>
    <w:rsid w:val="00264AF7"/>
    <w:rsid w:val="002650C9"/>
    <w:rsid w:val="00266569"/>
    <w:rsid w:val="00270D33"/>
    <w:rsid w:val="00270FC3"/>
    <w:rsid w:val="002747B4"/>
    <w:rsid w:val="00275298"/>
    <w:rsid w:val="00275AF0"/>
    <w:rsid w:val="00276998"/>
    <w:rsid w:val="00276BD3"/>
    <w:rsid w:val="00277128"/>
    <w:rsid w:val="002773CC"/>
    <w:rsid w:val="002777DE"/>
    <w:rsid w:val="00281483"/>
    <w:rsid w:val="00281773"/>
    <w:rsid w:val="00281B0C"/>
    <w:rsid w:val="00282301"/>
    <w:rsid w:val="00282489"/>
    <w:rsid w:val="00282571"/>
    <w:rsid w:val="00282C5C"/>
    <w:rsid w:val="00282E01"/>
    <w:rsid w:val="00282E6F"/>
    <w:rsid w:val="00283B4F"/>
    <w:rsid w:val="00284AF0"/>
    <w:rsid w:val="002851F8"/>
    <w:rsid w:val="002859F9"/>
    <w:rsid w:val="002861F0"/>
    <w:rsid w:val="0028687D"/>
    <w:rsid w:val="00287276"/>
    <w:rsid w:val="002874AB"/>
    <w:rsid w:val="00290C0B"/>
    <w:rsid w:val="002916FA"/>
    <w:rsid w:val="00291C3C"/>
    <w:rsid w:val="002933F1"/>
    <w:rsid w:val="00293F75"/>
    <w:rsid w:val="00294301"/>
    <w:rsid w:val="00294BF5"/>
    <w:rsid w:val="00295DA3"/>
    <w:rsid w:val="002968C0"/>
    <w:rsid w:val="00297FE4"/>
    <w:rsid w:val="002A0E32"/>
    <w:rsid w:val="002A1C24"/>
    <w:rsid w:val="002A3228"/>
    <w:rsid w:val="002A3A2F"/>
    <w:rsid w:val="002A40AB"/>
    <w:rsid w:val="002A4402"/>
    <w:rsid w:val="002A44FC"/>
    <w:rsid w:val="002A4D0D"/>
    <w:rsid w:val="002A573E"/>
    <w:rsid w:val="002A5862"/>
    <w:rsid w:val="002A5DD8"/>
    <w:rsid w:val="002A5FBB"/>
    <w:rsid w:val="002A743F"/>
    <w:rsid w:val="002A7A38"/>
    <w:rsid w:val="002A7E26"/>
    <w:rsid w:val="002B1436"/>
    <w:rsid w:val="002B228E"/>
    <w:rsid w:val="002B2874"/>
    <w:rsid w:val="002B3C82"/>
    <w:rsid w:val="002B3EE4"/>
    <w:rsid w:val="002B4020"/>
    <w:rsid w:val="002B4A25"/>
    <w:rsid w:val="002B4C2F"/>
    <w:rsid w:val="002B6A7B"/>
    <w:rsid w:val="002B6BDF"/>
    <w:rsid w:val="002C0B34"/>
    <w:rsid w:val="002C15AF"/>
    <w:rsid w:val="002C1A3F"/>
    <w:rsid w:val="002C1D4C"/>
    <w:rsid w:val="002C254D"/>
    <w:rsid w:val="002C2851"/>
    <w:rsid w:val="002C35D0"/>
    <w:rsid w:val="002C37BF"/>
    <w:rsid w:val="002C390A"/>
    <w:rsid w:val="002C3AA4"/>
    <w:rsid w:val="002C3BA3"/>
    <w:rsid w:val="002C46F4"/>
    <w:rsid w:val="002C4D43"/>
    <w:rsid w:val="002C56CA"/>
    <w:rsid w:val="002C7473"/>
    <w:rsid w:val="002C796E"/>
    <w:rsid w:val="002C7EB1"/>
    <w:rsid w:val="002D0416"/>
    <w:rsid w:val="002D07CA"/>
    <w:rsid w:val="002D0905"/>
    <w:rsid w:val="002D0991"/>
    <w:rsid w:val="002D1533"/>
    <w:rsid w:val="002D18A0"/>
    <w:rsid w:val="002D18E1"/>
    <w:rsid w:val="002D1DDD"/>
    <w:rsid w:val="002D2E3C"/>
    <w:rsid w:val="002D4070"/>
    <w:rsid w:val="002D4266"/>
    <w:rsid w:val="002D4D56"/>
    <w:rsid w:val="002D540A"/>
    <w:rsid w:val="002D5432"/>
    <w:rsid w:val="002D576E"/>
    <w:rsid w:val="002D752D"/>
    <w:rsid w:val="002E1850"/>
    <w:rsid w:val="002E3287"/>
    <w:rsid w:val="002E49EB"/>
    <w:rsid w:val="002E4A73"/>
    <w:rsid w:val="002E6170"/>
    <w:rsid w:val="002E6448"/>
    <w:rsid w:val="002E6EF6"/>
    <w:rsid w:val="002E7105"/>
    <w:rsid w:val="002E7832"/>
    <w:rsid w:val="002E7A84"/>
    <w:rsid w:val="002E7A9C"/>
    <w:rsid w:val="002E7D66"/>
    <w:rsid w:val="002F0C86"/>
    <w:rsid w:val="002F0F68"/>
    <w:rsid w:val="002F21C3"/>
    <w:rsid w:val="002F332B"/>
    <w:rsid w:val="002F33CB"/>
    <w:rsid w:val="002F3714"/>
    <w:rsid w:val="002F3A67"/>
    <w:rsid w:val="002F45B3"/>
    <w:rsid w:val="002F5A7A"/>
    <w:rsid w:val="002F639F"/>
    <w:rsid w:val="002F651F"/>
    <w:rsid w:val="002F6B59"/>
    <w:rsid w:val="002F6EC5"/>
    <w:rsid w:val="00300D8E"/>
    <w:rsid w:val="00301712"/>
    <w:rsid w:val="00301B5B"/>
    <w:rsid w:val="00302291"/>
    <w:rsid w:val="0030299C"/>
    <w:rsid w:val="00303899"/>
    <w:rsid w:val="00303A20"/>
    <w:rsid w:val="00305969"/>
    <w:rsid w:val="00306910"/>
    <w:rsid w:val="003069F3"/>
    <w:rsid w:val="00306BCD"/>
    <w:rsid w:val="003102FC"/>
    <w:rsid w:val="0031057C"/>
    <w:rsid w:val="00310906"/>
    <w:rsid w:val="00311745"/>
    <w:rsid w:val="003121D5"/>
    <w:rsid w:val="00313E1D"/>
    <w:rsid w:val="003143FC"/>
    <w:rsid w:val="0031458E"/>
    <w:rsid w:val="003145CD"/>
    <w:rsid w:val="003150E0"/>
    <w:rsid w:val="00315D65"/>
    <w:rsid w:val="00315EC2"/>
    <w:rsid w:val="003160F6"/>
    <w:rsid w:val="00316664"/>
    <w:rsid w:val="00316741"/>
    <w:rsid w:val="0031681F"/>
    <w:rsid w:val="0031737B"/>
    <w:rsid w:val="00317987"/>
    <w:rsid w:val="00317ED2"/>
    <w:rsid w:val="00320096"/>
    <w:rsid w:val="003212EE"/>
    <w:rsid w:val="0032154D"/>
    <w:rsid w:val="00322195"/>
    <w:rsid w:val="00323BBF"/>
    <w:rsid w:val="00324120"/>
    <w:rsid w:val="00324B7C"/>
    <w:rsid w:val="00324CD2"/>
    <w:rsid w:val="00324E17"/>
    <w:rsid w:val="0032590B"/>
    <w:rsid w:val="00326260"/>
    <w:rsid w:val="003272A3"/>
    <w:rsid w:val="00327B11"/>
    <w:rsid w:val="00327CE6"/>
    <w:rsid w:val="003305AA"/>
    <w:rsid w:val="00330CCA"/>
    <w:rsid w:val="00331B65"/>
    <w:rsid w:val="00331ED4"/>
    <w:rsid w:val="003325D9"/>
    <w:rsid w:val="00332C07"/>
    <w:rsid w:val="00332CB6"/>
    <w:rsid w:val="00332F1A"/>
    <w:rsid w:val="00333386"/>
    <w:rsid w:val="003334FF"/>
    <w:rsid w:val="00333BB6"/>
    <w:rsid w:val="003340A5"/>
    <w:rsid w:val="00335AC5"/>
    <w:rsid w:val="00336657"/>
    <w:rsid w:val="00337EEC"/>
    <w:rsid w:val="0034033E"/>
    <w:rsid w:val="003404DB"/>
    <w:rsid w:val="00340587"/>
    <w:rsid w:val="003407E9"/>
    <w:rsid w:val="0034094A"/>
    <w:rsid w:val="00340B7F"/>
    <w:rsid w:val="0034168D"/>
    <w:rsid w:val="0034252B"/>
    <w:rsid w:val="00342BB5"/>
    <w:rsid w:val="00342DF0"/>
    <w:rsid w:val="00344F6D"/>
    <w:rsid w:val="003450D3"/>
    <w:rsid w:val="00346444"/>
    <w:rsid w:val="003474AC"/>
    <w:rsid w:val="00347ABF"/>
    <w:rsid w:val="0035061F"/>
    <w:rsid w:val="00350B34"/>
    <w:rsid w:val="0035107E"/>
    <w:rsid w:val="00351117"/>
    <w:rsid w:val="003512E2"/>
    <w:rsid w:val="00351B32"/>
    <w:rsid w:val="00351B65"/>
    <w:rsid w:val="00351F87"/>
    <w:rsid w:val="00351FD9"/>
    <w:rsid w:val="00352495"/>
    <w:rsid w:val="0035271E"/>
    <w:rsid w:val="003532F8"/>
    <w:rsid w:val="00353E55"/>
    <w:rsid w:val="003542EE"/>
    <w:rsid w:val="00354DB7"/>
    <w:rsid w:val="003555B3"/>
    <w:rsid w:val="0035742F"/>
    <w:rsid w:val="00360060"/>
    <w:rsid w:val="003611CF"/>
    <w:rsid w:val="003611E3"/>
    <w:rsid w:val="003626B0"/>
    <w:rsid w:val="0036462C"/>
    <w:rsid w:val="003647AE"/>
    <w:rsid w:val="003647B5"/>
    <w:rsid w:val="00365A0F"/>
    <w:rsid w:val="003663F0"/>
    <w:rsid w:val="0036659C"/>
    <w:rsid w:val="00366625"/>
    <w:rsid w:val="0036716A"/>
    <w:rsid w:val="00370F16"/>
    <w:rsid w:val="00371514"/>
    <w:rsid w:val="00371F0C"/>
    <w:rsid w:val="003722D7"/>
    <w:rsid w:val="003732D1"/>
    <w:rsid w:val="003746D3"/>
    <w:rsid w:val="00374BEB"/>
    <w:rsid w:val="00374ECA"/>
    <w:rsid w:val="00374FD5"/>
    <w:rsid w:val="003753A3"/>
    <w:rsid w:val="003754C8"/>
    <w:rsid w:val="00375875"/>
    <w:rsid w:val="00376143"/>
    <w:rsid w:val="0037645F"/>
    <w:rsid w:val="003765DB"/>
    <w:rsid w:val="00376A3A"/>
    <w:rsid w:val="00376AF4"/>
    <w:rsid w:val="00376F34"/>
    <w:rsid w:val="00377771"/>
    <w:rsid w:val="003801B7"/>
    <w:rsid w:val="00380BA1"/>
    <w:rsid w:val="00381A5F"/>
    <w:rsid w:val="003821E9"/>
    <w:rsid w:val="0038228E"/>
    <w:rsid w:val="00385CF9"/>
    <w:rsid w:val="00386B79"/>
    <w:rsid w:val="0038750E"/>
    <w:rsid w:val="003877FA"/>
    <w:rsid w:val="003908A3"/>
    <w:rsid w:val="0039187A"/>
    <w:rsid w:val="00391910"/>
    <w:rsid w:val="00391FC6"/>
    <w:rsid w:val="00392B02"/>
    <w:rsid w:val="00392B5C"/>
    <w:rsid w:val="00392D35"/>
    <w:rsid w:val="00393044"/>
    <w:rsid w:val="0039498A"/>
    <w:rsid w:val="003954FD"/>
    <w:rsid w:val="00395947"/>
    <w:rsid w:val="003A0B63"/>
    <w:rsid w:val="003A0B8F"/>
    <w:rsid w:val="003A0C21"/>
    <w:rsid w:val="003A12E5"/>
    <w:rsid w:val="003A14A1"/>
    <w:rsid w:val="003A2153"/>
    <w:rsid w:val="003A21FC"/>
    <w:rsid w:val="003A2452"/>
    <w:rsid w:val="003A321F"/>
    <w:rsid w:val="003A384D"/>
    <w:rsid w:val="003A3857"/>
    <w:rsid w:val="003A3AD1"/>
    <w:rsid w:val="003A4D91"/>
    <w:rsid w:val="003A63CD"/>
    <w:rsid w:val="003A6CC9"/>
    <w:rsid w:val="003A70D8"/>
    <w:rsid w:val="003B0C91"/>
    <w:rsid w:val="003B12D1"/>
    <w:rsid w:val="003B1371"/>
    <w:rsid w:val="003B30C6"/>
    <w:rsid w:val="003B35DE"/>
    <w:rsid w:val="003B3937"/>
    <w:rsid w:val="003B3963"/>
    <w:rsid w:val="003B3B42"/>
    <w:rsid w:val="003B3B98"/>
    <w:rsid w:val="003B43E9"/>
    <w:rsid w:val="003B4B85"/>
    <w:rsid w:val="003B58AF"/>
    <w:rsid w:val="003B6F78"/>
    <w:rsid w:val="003B7D7B"/>
    <w:rsid w:val="003C0D65"/>
    <w:rsid w:val="003C1A12"/>
    <w:rsid w:val="003C1B86"/>
    <w:rsid w:val="003C1E0F"/>
    <w:rsid w:val="003C1F66"/>
    <w:rsid w:val="003C2EFA"/>
    <w:rsid w:val="003C4529"/>
    <w:rsid w:val="003C47E0"/>
    <w:rsid w:val="003C49EA"/>
    <w:rsid w:val="003C4C11"/>
    <w:rsid w:val="003C4DD3"/>
    <w:rsid w:val="003C5108"/>
    <w:rsid w:val="003C5231"/>
    <w:rsid w:val="003C5400"/>
    <w:rsid w:val="003C5503"/>
    <w:rsid w:val="003C5790"/>
    <w:rsid w:val="003C6151"/>
    <w:rsid w:val="003C6927"/>
    <w:rsid w:val="003C6CDB"/>
    <w:rsid w:val="003C72F4"/>
    <w:rsid w:val="003D09E8"/>
    <w:rsid w:val="003D10F2"/>
    <w:rsid w:val="003D1C7A"/>
    <w:rsid w:val="003D2A18"/>
    <w:rsid w:val="003D32D1"/>
    <w:rsid w:val="003D4470"/>
    <w:rsid w:val="003D4F16"/>
    <w:rsid w:val="003D5C4E"/>
    <w:rsid w:val="003D615C"/>
    <w:rsid w:val="003D72F9"/>
    <w:rsid w:val="003D7D5C"/>
    <w:rsid w:val="003E1B80"/>
    <w:rsid w:val="003E2386"/>
    <w:rsid w:val="003E42B5"/>
    <w:rsid w:val="003E4415"/>
    <w:rsid w:val="003E461D"/>
    <w:rsid w:val="003E4805"/>
    <w:rsid w:val="003E49EA"/>
    <w:rsid w:val="003E5E4C"/>
    <w:rsid w:val="003E6E36"/>
    <w:rsid w:val="003E6F8C"/>
    <w:rsid w:val="003E7944"/>
    <w:rsid w:val="003E7BFA"/>
    <w:rsid w:val="003E7EDF"/>
    <w:rsid w:val="003F0C39"/>
    <w:rsid w:val="003F23AF"/>
    <w:rsid w:val="003F31DE"/>
    <w:rsid w:val="003F4169"/>
    <w:rsid w:val="003F4BF9"/>
    <w:rsid w:val="003F53FB"/>
    <w:rsid w:val="003F5433"/>
    <w:rsid w:val="003F54CB"/>
    <w:rsid w:val="003F5AFC"/>
    <w:rsid w:val="003F5BA4"/>
    <w:rsid w:val="003F5BD7"/>
    <w:rsid w:val="003F5C43"/>
    <w:rsid w:val="003F5EC8"/>
    <w:rsid w:val="003F60D7"/>
    <w:rsid w:val="003F679F"/>
    <w:rsid w:val="003F6AC2"/>
    <w:rsid w:val="003F78FA"/>
    <w:rsid w:val="003F7E77"/>
    <w:rsid w:val="00400BC2"/>
    <w:rsid w:val="004018EF"/>
    <w:rsid w:val="00401B5C"/>
    <w:rsid w:val="004025B5"/>
    <w:rsid w:val="00402708"/>
    <w:rsid w:val="00402D76"/>
    <w:rsid w:val="004033A1"/>
    <w:rsid w:val="00403538"/>
    <w:rsid w:val="00403A30"/>
    <w:rsid w:val="00404CD8"/>
    <w:rsid w:val="00405EAB"/>
    <w:rsid w:val="0040651C"/>
    <w:rsid w:val="00406A6B"/>
    <w:rsid w:val="004078AF"/>
    <w:rsid w:val="0041004E"/>
    <w:rsid w:val="0041055A"/>
    <w:rsid w:val="0041105F"/>
    <w:rsid w:val="004111C9"/>
    <w:rsid w:val="00411552"/>
    <w:rsid w:val="00412068"/>
    <w:rsid w:val="00412567"/>
    <w:rsid w:val="00412579"/>
    <w:rsid w:val="00413593"/>
    <w:rsid w:val="00413BBF"/>
    <w:rsid w:val="00413E6A"/>
    <w:rsid w:val="00413EEF"/>
    <w:rsid w:val="004148E2"/>
    <w:rsid w:val="00414905"/>
    <w:rsid w:val="004157A5"/>
    <w:rsid w:val="0041688D"/>
    <w:rsid w:val="00416DC4"/>
    <w:rsid w:val="00417EE4"/>
    <w:rsid w:val="00417F0B"/>
    <w:rsid w:val="00420D23"/>
    <w:rsid w:val="0042154D"/>
    <w:rsid w:val="004217E5"/>
    <w:rsid w:val="004227B6"/>
    <w:rsid w:val="0042407F"/>
    <w:rsid w:val="004242F3"/>
    <w:rsid w:val="0042484A"/>
    <w:rsid w:val="00424DA4"/>
    <w:rsid w:val="00424DE6"/>
    <w:rsid w:val="00426AD9"/>
    <w:rsid w:val="00427015"/>
    <w:rsid w:val="004271C2"/>
    <w:rsid w:val="0042778A"/>
    <w:rsid w:val="00430009"/>
    <w:rsid w:val="00430017"/>
    <w:rsid w:val="00430416"/>
    <w:rsid w:val="0043065E"/>
    <w:rsid w:val="00430A59"/>
    <w:rsid w:val="0043247C"/>
    <w:rsid w:val="0043316E"/>
    <w:rsid w:val="00433630"/>
    <w:rsid w:val="004343B6"/>
    <w:rsid w:val="00434555"/>
    <w:rsid w:val="00434996"/>
    <w:rsid w:val="004349A1"/>
    <w:rsid w:val="00434A94"/>
    <w:rsid w:val="0043555B"/>
    <w:rsid w:val="0043574F"/>
    <w:rsid w:val="00435794"/>
    <w:rsid w:val="004357D2"/>
    <w:rsid w:val="00435F70"/>
    <w:rsid w:val="00436BF1"/>
    <w:rsid w:val="00437A14"/>
    <w:rsid w:val="00437F71"/>
    <w:rsid w:val="00442EF7"/>
    <w:rsid w:val="00442F57"/>
    <w:rsid w:val="004434E4"/>
    <w:rsid w:val="0044491D"/>
    <w:rsid w:val="00444FDF"/>
    <w:rsid w:val="0044555D"/>
    <w:rsid w:val="00445D59"/>
    <w:rsid w:val="00446316"/>
    <w:rsid w:val="00446A19"/>
    <w:rsid w:val="004470B7"/>
    <w:rsid w:val="00447541"/>
    <w:rsid w:val="004475A7"/>
    <w:rsid w:val="00447A36"/>
    <w:rsid w:val="00450198"/>
    <w:rsid w:val="004512A4"/>
    <w:rsid w:val="004512F2"/>
    <w:rsid w:val="00451F50"/>
    <w:rsid w:val="0045231A"/>
    <w:rsid w:val="00452924"/>
    <w:rsid w:val="00452C78"/>
    <w:rsid w:val="00453118"/>
    <w:rsid w:val="00453D24"/>
    <w:rsid w:val="00454C91"/>
    <w:rsid w:val="00455AE0"/>
    <w:rsid w:val="00457562"/>
    <w:rsid w:val="004577B0"/>
    <w:rsid w:val="00457CDD"/>
    <w:rsid w:val="00461085"/>
    <w:rsid w:val="00463D32"/>
    <w:rsid w:val="00463EC7"/>
    <w:rsid w:val="00463F90"/>
    <w:rsid w:val="0046578A"/>
    <w:rsid w:val="004662AD"/>
    <w:rsid w:val="00466610"/>
    <w:rsid w:val="0046669A"/>
    <w:rsid w:val="00466D00"/>
    <w:rsid w:val="00467151"/>
    <w:rsid w:val="004673A4"/>
    <w:rsid w:val="0046745A"/>
    <w:rsid w:val="004674A1"/>
    <w:rsid w:val="00467518"/>
    <w:rsid w:val="00467ACD"/>
    <w:rsid w:val="00467F9F"/>
    <w:rsid w:val="00470A28"/>
    <w:rsid w:val="00471394"/>
    <w:rsid w:val="004715B1"/>
    <w:rsid w:val="0047359D"/>
    <w:rsid w:val="004743AC"/>
    <w:rsid w:val="004744CA"/>
    <w:rsid w:val="00474A79"/>
    <w:rsid w:val="00474E2B"/>
    <w:rsid w:val="004753E4"/>
    <w:rsid w:val="00475618"/>
    <w:rsid w:val="00476154"/>
    <w:rsid w:val="0047630F"/>
    <w:rsid w:val="00476818"/>
    <w:rsid w:val="00477C8B"/>
    <w:rsid w:val="00480C59"/>
    <w:rsid w:val="0048231E"/>
    <w:rsid w:val="004823ED"/>
    <w:rsid w:val="004835E8"/>
    <w:rsid w:val="00484A77"/>
    <w:rsid w:val="00485721"/>
    <w:rsid w:val="00485EB2"/>
    <w:rsid w:val="00486873"/>
    <w:rsid w:val="0048714C"/>
    <w:rsid w:val="00487603"/>
    <w:rsid w:val="0048784D"/>
    <w:rsid w:val="004908CA"/>
    <w:rsid w:val="0049207E"/>
    <w:rsid w:val="00492930"/>
    <w:rsid w:val="00492AB7"/>
    <w:rsid w:val="00493583"/>
    <w:rsid w:val="00493BE0"/>
    <w:rsid w:val="00495130"/>
    <w:rsid w:val="00495790"/>
    <w:rsid w:val="00495CC4"/>
    <w:rsid w:val="0049639C"/>
    <w:rsid w:val="00496B26"/>
    <w:rsid w:val="0049793D"/>
    <w:rsid w:val="00497953"/>
    <w:rsid w:val="004A0680"/>
    <w:rsid w:val="004A0A50"/>
    <w:rsid w:val="004A1B3F"/>
    <w:rsid w:val="004A38BE"/>
    <w:rsid w:val="004A4360"/>
    <w:rsid w:val="004A43FC"/>
    <w:rsid w:val="004A4F49"/>
    <w:rsid w:val="004A63BB"/>
    <w:rsid w:val="004B0CBD"/>
    <w:rsid w:val="004B1440"/>
    <w:rsid w:val="004B161B"/>
    <w:rsid w:val="004B1D13"/>
    <w:rsid w:val="004B2656"/>
    <w:rsid w:val="004B2C52"/>
    <w:rsid w:val="004B4B0E"/>
    <w:rsid w:val="004B55D6"/>
    <w:rsid w:val="004B566D"/>
    <w:rsid w:val="004B6301"/>
    <w:rsid w:val="004B64D4"/>
    <w:rsid w:val="004B6729"/>
    <w:rsid w:val="004B69AC"/>
    <w:rsid w:val="004B73C8"/>
    <w:rsid w:val="004B741D"/>
    <w:rsid w:val="004B7960"/>
    <w:rsid w:val="004C1722"/>
    <w:rsid w:val="004C2EBC"/>
    <w:rsid w:val="004C3536"/>
    <w:rsid w:val="004C396C"/>
    <w:rsid w:val="004C4983"/>
    <w:rsid w:val="004C4A1D"/>
    <w:rsid w:val="004C644C"/>
    <w:rsid w:val="004C70A6"/>
    <w:rsid w:val="004C793A"/>
    <w:rsid w:val="004D0DD2"/>
    <w:rsid w:val="004D0E69"/>
    <w:rsid w:val="004D1048"/>
    <w:rsid w:val="004D14C4"/>
    <w:rsid w:val="004D1607"/>
    <w:rsid w:val="004D244F"/>
    <w:rsid w:val="004D2BF9"/>
    <w:rsid w:val="004D464D"/>
    <w:rsid w:val="004D47E6"/>
    <w:rsid w:val="004D4AE5"/>
    <w:rsid w:val="004D5E54"/>
    <w:rsid w:val="004D6301"/>
    <w:rsid w:val="004D64EF"/>
    <w:rsid w:val="004D6C2B"/>
    <w:rsid w:val="004D6C5A"/>
    <w:rsid w:val="004D735B"/>
    <w:rsid w:val="004D749C"/>
    <w:rsid w:val="004D78BD"/>
    <w:rsid w:val="004E0CA5"/>
    <w:rsid w:val="004E0D4A"/>
    <w:rsid w:val="004E1673"/>
    <w:rsid w:val="004E2416"/>
    <w:rsid w:val="004E345F"/>
    <w:rsid w:val="004E3BD0"/>
    <w:rsid w:val="004E4314"/>
    <w:rsid w:val="004E5453"/>
    <w:rsid w:val="004E5A9A"/>
    <w:rsid w:val="004E5BEC"/>
    <w:rsid w:val="004E5F27"/>
    <w:rsid w:val="004E6516"/>
    <w:rsid w:val="004E7441"/>
    <w:rsid w:val="004E7B21"/>
    <w:rsid w:val="004E7CDB"/>
    <w:rsid w:val="004E7E2A"/>
    <w:rsid w:val="004F08DF"/>
    <w:rsid w:val="004F12D4"/>
    <w:rsid w:val="004F325C"/>
    <w:rsid w:val="004F356A"/>
    <w:rsid w:val="004F41AA"/>
    <w:rsid w:val="004F57CE"/>
    <w:rsid w:val="004F5ED7"/>
    <w:rsid w:val="004F61B2"/>
    <w:rsid w:val="004F690E"/>
    <w:rsid w:val="004F6ED0"/>
    <w:rsid w:val="004F7076"/>
    <w:rsid w:val="005006A7"/>
    <w:rsid w:val="00502333"/>
    <w:rsid w:val="005026E7"/>
    <w:rsid w:val="0050290C"/>
    <w:rsid w:val="00503B4E"/>
    <w:rsid w:val="00503FF9"/>
    <w:rsid w:val="005045B9"/>
    <w:rsid w:val="005063B4"/>
    <w:rsid w:val="005065E2"/>
    <w:rsid w:val="005073E8"/>
    <w:rsid w:val="00507B5A"/>
    <w:rsid w:val="005118A7"/>
    <w:rsid w:val="0051233D"/>
    <w:rsid w:val="00512A76"/>
    <w:rsid w:val="00512DDE"/>
    <w:rsid w:val="00512E15"/>
    <w:rsid w:val="00513104"/>
    <w:rsid w:val="0051373B"/>
    <w:rsid w:val="00513C9A"/>
    <w:rsid w:val="005140A9"/>
    <w:rsid w:val="005159F1"/>
    <w:rsid w:val="00515C06"/>
    <w:rsid w:val="00516A0E"/>
    <w:rsid w:val="0051725B"/>
    <w:rsid w:val="00517B75"/>
    <w:rsid w:val="00520703"/>
    <w:rsid w:val="00520774"/>
    <w:rsid w:val="00520914"/>
    <w:rsid w:val="00520982"/>
    <w:rsid w:val="00520F32"/>
    <w:rsid w:val="00521452"/>
    <w:rsid w:val="00522635"/>
    <w:rsid w:val="005227D4"/>
    <w:rsid w:val="005231CC"/>
    <w:rsid w:val="00523DFB"/>
    <w:rsid w:val="00523EAD"/>
    <w:rsid w:val="00525C7E"/>
    <w:rsid w:val="005263C8"/>
    <w:rsid w:val="0052728C"/>
    <w:rsid w:val="00527CF9"/>
    <w:rsid w:val="00531181"/>
    <w:rsid w:val="005312E3"/>
    <w:rsid w:val="005331E0"/>
    <w:rsid w:val="005332FD"/>
    <w:rsid w:val="00533AEF"/>
    <w:rsid w:val="00533C4F"/>
    <w:rsid w:val="00534D52"/>
    <w:rsid w:val="00535A4C"/>
    <w:rsid w:val="005366F4"/>
    <w:rsid w:val="00536FC2"/>
    <w:rsid w:val="00537339"/>
    <w:rsid w:val="00537592"/>
    <w:rsid w:val="005376F0"/>
    <w:rsid w:val="00540519"/>
    <w:rsid w:val="00540597"/>
    <w:rsid w:val="005411FB"/>
    <w:rsid w:val="00541302"/>
    <w:rsid w:val="0054136A"/>
    <w:rsid w:val="005428D2"/>
    <w:rsid w:val="00543E84"/>
    <w:rsid w:val="00544238"/>
    <w:rsid w:val="005445F9"/>
    <w:rsid w:val="0055012E"/>
    <w:rsid w:val="005509AC"/>
    <w:rsid w:val="00551790"/>
    <w:rsid w:val="00552C53"/>
    <w:rsid w:val="00554A43"/>
    <w:rsid w:val="00554D31"/>
    <w:rsid w:val="00555617"/>
    <w:rsid w:val="00555C45"/>
    <w:rsid w:val="0055648E"/>
    <w:rsid w:val="00556C32"/>
    <w:rsid w:val="0055709A"/>
    <w:rsid w:val="005572B0"/>
    <w:rsid w:val="00557620"/>
    <w:rsid w:val="00560376"/>
    <w:rsid w:val="00560701"/>
    <w:rsid w:val="00560FFF"/>
    <w:rsid w:val="0056196C"/>
    <w:rsid w:val="0056289D"/>
    <w:rsid w:val="00562CC2"/>
    <w:rsid w:val="00563FC5"/>
    <w:rsid w:val="00564ADE"/>
    <w:rsid w:val="00566C50"/>
    <w:rsid w:val="00567626"/>
    <w:rsid w:val="005706D2"/>
    <w:rsid w:val="0057103B"/>
    <w:rsid w:val="00571155"/>
    <w:rsid w:val="00571C4E"/>
    <w:rsid w:val="00571DF2"/>
    <w:rsid w:val="00572CC9"/>
    <w:rsid w:val="00573A32"/>
    <w:rsid w:val="00573B45"/>
    <w:rsid w:val="00574097"/>
    <w:rsid w:val="00575730"/>
    <w:rsid w:val="00575D2F"/>
    <w:rsid w:val="0057695A"/>
    <w:rsid w:val="005770EC"/>
    <w:rsid w:val="00577237"/>
    <w:rsid w:val="005816D3"/>
    <w:rsid w:val="00581D1F"/>
    <w:rsid w:val="0058222D"/>
    <w:rsid w:val="00582A9A"/>
    <w:rsid w:val="00582D5B"/>
    <w:rsid w:val="00583622"/>
    <w:rsid w:val="00583CEF"/>
    <w:rsid w:val="00584A98"/>
    <w:rsid w:val="00586BDD"/>
    <w:rsid w:val="0058711F"/>
    <w:rsid w:val="005909F1"/>
    <w:rsid w:val="005911F5"/>
    <w:rsid w:val="005917C0"/>
    <w:rsid w:val="00593237"/>
    <w:rsid w:val="0059331F"/>
    <w:rsid w:val="00593EA0"/>
    <w:rsid w:val="005942BD"/>
    <w:rsid w:val="0059483A"/>
    <w:rsid w:val="00594DE4"/>
    <w:rsid w:val="005963BE"/>
    <w:rsid w:val="005964DC"/>
    <w:rsid w:val="00597C74"/>
    <w:rsid w:val="005A04AE"/>
    <w:rsid w:val="005A0C46"/>
    <w:rsid w:val="005A1A39"/>
    <w:rsid w:val="005A2D4F"/>
    <w:rsid w:val="005A2DA2"/>
    <w:rsid w:val="005A3C95"/>
    <w:rsid w:val="005A41B3"/>
    <w:rsid w:val="005A4532"/>
    <w:rsid w:val="005A4E13"/>
    <w:rsid w:val="005A5421"/>
    <w:rsid w:val="005A54C0"/>
    <w:rsid w:val="005A62B5"/>
    <w:rsid w:val="005A791D"/>
    <w:rsid w:val="005A79F1"/>
    <w:rsid w:val="005A7C39"/>
    <w:rsid w:val="005B0A39"/>
    <w:rsid w:val="005B1D2F"/>
    <w:rsid w:val="005B1F53"/>
    <w:rsid w:val="005B380C"/>
    <w:rsid w:val="005B3914"/>
    <w:rsid w:val="005B4A19"/>
    <w:rsid w:val="005B5604"/>
    <w:rsid w:val="005B5973"/>
    <w:rsid w:val="005B5DF9"/>
    <w:rsid w:val="005B6C2E"/>
    <w:rsid w:val="005C0BAE"/>
    <w:rsid w:val="005C0E14"/>
    <w:rsid w:val="005C10CF"/>
    <w:rsid w:val="005C2D5F"/>
    <w:rsid w:val="005C3CEA"/>
    <w:rsid w:val="005C4CF9"/>
    <w:rsid w:val="005C67E8"/>
    <w:rsid w:val="005C6C23"/>
    <w:rsid w:val="005C6FBF"/>
    <w:rsid w:val="005C78D3"/>
    <w:rsid w:val="005C7DF5"/>
    <w:rsid w:val="005D02FD"/>
    <w:rsid w:val="005D0447"/>
    <w:rsid w:val="005D1716"/>
    <w:rsid w:val="005D172C"/>
    <w:rsid w:val="005D1A88"/>
    <w:rsid w:val="005D229A"/>
    <w:rsid w:val="005D24E7"/>
    <w:rsid w:val="005D2A88"/>
    <w:rsid w:val="005D3DEA"/>
    <w:rsid w:val="005D4237"/>
    <w:rsid w:val="005D44FE"/>
    <w:rsid w:val="005D4C95"/>
    <w:rsid w:val="005D4D98"/>
    <w:rsid w:val="005D58F4"/>
    <w:rsid w:val="005D766F"/>
    <w:rsid w:val="005D7E2C"/>
    <w:rsid w:val="005E056C"/>
    <w:rsid w:val="005E0957"/>
    <w:rsid w:val="005E0BE7"/>
    <w:rsid w:val="005E18DD"/>
    <w:rsid w:val="005E19D4"/>
    <w:rsid w:val="005E1BDD"/>
    <w:rsid w:val="005E1E5B"/>
    <w:rsid w:val="005E3041"/>
    <w:rsid w:val="005E397B"/>
    <w:rsid w:val="005E4447"/>
    <w:rsid w:val="005E48CA"/>
    <w:rsid w:val="005E5535"/>
    <w:rsid w:val="005E7A71"/>
    <w:rsid w:val="005F0839"/>
    <w:rsid w:val="005F0C53"/>
    <w:rsid w:val="005F17E5"/>
    <w:rsid w:val="005F18FC"/>
    <w:rsid w:val="005F191B"/>
    <w:rsid w:val="005F1CF4"/>
    <w:rsid w:val="005F1DD4"/>
    <w:rsid w:val="005F37D1"/>
    <w:rsid w:val="005F3B05"/>
    <w:rsid w:val="005F3E8D"/>
    <w:rsid w:val="005F405A"/>
    <w:rsid w:val="005F47FA"/>
    <w:rsid w:val="005F6A94"/>
    <w:rsid w:val="005F6CAF"/>
    <w:rsid w:val="005F7FEB"/>
    <w:rsid w:val="00600052"/>
    <w:rsid w:val="00600261"/>
    <w:rsid w:val="00600C46"/>
    <w:rsid w:val="00600C6E"/>
    <w:rsid w:val="006020D3"/>
    <w:rsid w:val="006041C1"/>
    <w:rsid w:val="00605C41"/>
    <w:rsid w:val="00606D85"/>
    <w:rsid w:val="0060712A"/>
    <w:rsid w:val="006074ED"/>
    <w:rsid w:val="0060782F"/>
    <w:rsid w:val="00607986"/>
    <w:rsid w:val="00611118"/>
    <w:rsid w:val="00612180"/>
    <w:rsid w:val="0061242B"/>
    <w:rsid w:val="00613E6B"/>
    <w:rsid w:val="00614828"/>
    <w:rsid w:val="0061596F"/>
    <w:rsid w:val="006168D1"/>
    <w:rsid w:val="0061723D"/>
    <w:rsid w:val="00617805"/>
    <w:rsid w:val="00617B7F"/>
    <w:rsid w:val="0062070D"/>
    <w:rsid w:val="00620CB8"/>
    <w:rsid w:val="00620FDD"/>
    <w:rsid w:val="00620FE6"/>
    <w:rsid w:val="00621482"/>
    <w:rsid w:val="006214E6"/>
    <w:rsid w:val="0062268C"/>
    <w:rsid w:val="00622A64"/>
    <w:rsid w:val="0062350F"/>
    <w:rsid w:val="00623748"/>
    <w:rsid w:val="00623DBA"/>
    <w:rsid w:val="00623E12"/>
    <w:rsid w:val="006248B1"/>
    <w:rsid w:val="00624E00"/>
    <w:rsid w:val="006255AC"/>
    <w:rsid w:val="00625F45"/>
    <w:rsid w:val="00626078"/>
    <w:rsid w:val="00626171"/>
    <w:rsid w:val="006261BE"/>
    <w:rsid w:val="006304CF"/>
    <w:rsid w:val="00631252"/>
    <w:rsid w:val="00631B6A"/>
    <w:rsid w:val="006321C7"/>
    <w:rsid w:val="00632896"/>
    <w:rsid w:val="006334F6"/>
    <w:rsid w:val="00633C02"/>
    <w:rsid w:val="006341B4"/>
    <w:rsid w:val="00634578"/>
    <w:rsid w:val="00634B8A"/>
    <w:rsid w:val="00634DEE"/>
    <w:rsid w:val="00635BFE"/>
    <w:rsid w:val="00635E3E"/>
    <w:rsid w:val="00640616"/>
    <w:rsid w:val="0064086A"/>
    <w:rsid w:val="00641C25"/>
    <w:rsid w:val="00642997"/>
    <w:rsid w:val="00643365"/>
    <w:rsid w:val="006433AC"/>
    <w:rsid w:val="00645B76"/>
    <w:rsid w:val="00645BF9"/>
    <w:rsid w:val="00646C35"/>
    <w:rsid w:val="006473B3"/>
    <w:rsid w:val="00647475"/>
    <w:rsid w:val="0065079F"/>
    <w:rsid w:val="00650B85"/>
    <w:rsid w:val="00651130"/>
    <w:rsid w:val="006514F4"/>
    <w:rsid w:val="0065294E"/>
    <w:rsid w:val="00652EB9"/>
    <w:rsid w:val="006532CE"/>
    <w:rsid w:val="00653891"/>
    <w:rsid w:val="00653A08"/>
    <w:rsid w:val="00654B58"/>
    <w:rsid w:val="00654B61"/>
    <w:rsid w:val="00654C6B"/>
    <w:rsid w:val="00656A21"/>
    <w:rsid w:val="00656A57"/>
    <w:rsid w:val="006572F8"/>
    <w:rsid w:val="00657A29"/>
    <w:rsid w:val="00657B6E"/>
    <w:rsid w:val="0066008B"/>
    <w:rsid w:val="00660D97"/>
    <w:rsid w:val="00660E86"/>
    <w:rsid w:val="0066293E"/>
    <w:rsid w:val="00662DF9"/>
    <w:rsid w:val="006631F1"/>
    <w:rsid w:val="006632B9"/>
    <w:rsid w:val="00664831"/>
    <w:rsid w:val="006653F7"/>
    <w:rsid w:val="00666477"/>
    <w:rsid w:val="006667C0"/>
    <w:rsid w:val="006668F7"/>
    <w:rsid w:val="00666DDC"/>
    <w:rsid w:val="006678D3"/>
    <w:rsid w:val="00670208"/>
    <w:rsid w:val="00671546"/>
    <w:rsid w:val="00671C3E"/>
    <w:rsid w:val="00671F73"/>
    <w:rsid w:val="00672B03"/>
    <w:rsid w:val="006738F9"/>
    <w:rsid w:val="00673D42"/>
    <w:rsid w:val="006743E7"/>
    <w:rsid w:val="0067470F"/>
    <w:rsid w:val="00674B53"/>
    <w:rsid w:val="006755A4"/>
    <w:rsid w:val="006766FA"/>
    <w:rsid w:val="00676D0A"/>
    <w:rsid w:val="00676D29"/>
    <w:rsid w:val="0067702F"/>
    <w:rsid w:val="00680B33"/>
    <w:rsid w:val="00680B5C"/>
    <w:rsid w:val="0068116A"/>
    <w:rsid w:val="006815C4"/>
    <w:rsid w:val="006815F4"/>
    <w:rsid w:val="006825AD"/>
    <w:rsid w:val="00683BCD"/>
    <w:rsid w:val="00683CA0"/>
    <w:rsid w:val="0068416D"/>
    <w:rsid w:val="00684EF0"/>
    <w:rsid w:val="00685258"/>
    <w:rsid w:val="0068545A"/>
    <w:rsid w:val="00685901"/>
    <w:rsid w:val="00685934"/>
    <w:rsid w:val="00685D69"/>
    <w:rsid w:val="00687581"/>
    <w:rsid w:val="00687733"/>
    <w:rsid w:val="006915C9"/>
    <w:rsid w:val="00691B97"/>
    <w:rsid w:val="00692736"/>
    <w:rsid w:val="006929F6"/>
    <w:rsid w:val="0069306F"/>
    <w:rsid w:val="00693840"/>
    <w:rsid w:val="00694538"/>
    <w:rsid w:val="00694B1D"/>
    <w:rsid w:val="00695425"/>
    <w:rsid w:val="00696B2A"/>
    <w:rsid w:val="00697248"/>
    <w:rsid w:val="00697DCB"/>
    <w:rsid w:val="006A03A5"/>
    <w:rsid w:val="006A3052"/>
    <w:rsid w:val="006A308F"/>
    <w:rsid w:val="006A4370"/>
    <w:rsid w:val="006A4D82"/>
    <w:rsid w:val="006A642D"/>
    <w:rsid w:val="006A6D80"/>
    <w:rsid w:val="006A6DF3"/>
    <w:rsid w:val="006A6E2C"/>
    <w:rsid w:val="006A7398"/>
    <w:rsid w:val="006A7A0F"/>
    <w:rsid w:val="006B1D26"/>
    <w:rsid w:val="006B1FE0"/>
    <w:rsid w:val="006B2B0B"/>
    <w:rsid w:val="006B3318"/>
    <w:rsid w:val="006B5789"/>
    <w:rsid w:val="006B687D"/>
    <w:rsid w:val="006B75E2"/>
    <w:rsid w:val="006B7A37"/>
    <w:rsid w:val="006C03D4"/>
    <w:rsid w:val="006C1C48"/>
    <w:rsid w:val="006C28ED"/>
    <w:rsid w:val="006C2D03"/>
    <w:rsid w:val="006C487D"/>
    <w:rsid w:val="006C52F3"/>
    <w:rsid w:val="006C53E5"/>
    <w:rsid w:val="006C6B94"/>
    <w:rsid w:val="006C7228"/>
    <w:rsid w:val="006D03C3"/>
    <w:rsid w:val="006D14CA"/>
    <w:rsid w:val="006D17CF"/>
    <w:rsid w:val="006D212B"/>
    <w:rsid w:val="006D2C0F"/>
    <w:rsid w:val="006D3280"/>
    <w:rsid w:val="006D3691"/>
    <w:rsid w:val="006D3D24"/>
    <w:rsid w:val="006D512F"/>
    <w:rsid w:val="006D51E9"/>
    <w:rsid w:val="006D549E"/>
    <w:rsid w:val="006D5A32"/>
    <w:rsid w:val="006D5BE3"/>
    <w:rsid w:val="006D5C71"/>
    <w:rsid w:val="006D62A2"/>
    <w:rsid w:val="006D724A"/>
    <w:rsid w:val="006D7C19"/>
    <w:rsid w:val="006E07BF"/>
    <w:rsid w:val="006E1317"/>
    <w:rsid w:val="006E150E"/>
    <w:rsid w:val="006E1808"/>
    <w:rsid w:val="006E3843"/>
    <w:rsid w:val="006E3C84"/>
    <w:rsid w:val="006E519C"/>
    <w:rsid w:val="006E58DC"/>
    <w:rsid w:val="006E66F9"/>
    <w:rsid w:val="006E7513"/>
    <w:rsid w:val="006F0173"/>
    <w:rsid w:val="006F11EC"/>
    <w:rsid w:val="006F1EAC"/>
    <w:rsid w:val="006F295D"/>
    <w:rsid w:val="006F2FE9"/>
    <w:rsid w:val="006F3C48"/>
    <w:rsid w:val="006F5440"/>
    <w:rsid w:val="006F6685"/>
    <w:rsid w:val="006F68EB"/>
    <w:rsid w:val="006F7228"/>
    <w:rsid w:val="006F7CA6"/>
    <w:rsid w:val="0070046F"/>
    <w:rsid w:val="007009E6"/>
    <w:rsid w:val="00700C45"/>
    <w:rsid w:val="00700CC5"/>
    <w:rsid w:val="00702CBC"/>
    <w:rsid w:val="00703461"/>
    <w:rsid w:val="00703BD0"/>
    <w:rsid w:val="00703D0B"/>
    <w:rsid w:val="00703F87"/>
    <w:rsid w:val="00704AFA"/>
    <w:rsid w:val="00705232"/>
    <w:rsid w:val="00707103"/>
    <w:rsid w:val="007075D8"/>
    <w:rsid w:val="00710445"/>
    <w:rsid w:val="00710E4E"/>
    <w:rsid w:val="00710E7C"/>
    <w:rsid w:val="00711FA9"/>
    <w:rsid w:val="00711FDF"/>
    <w:rsid w:val="0071212E"/>
    <w:rsid w:val="0071267D"/>
    <w:rsid w:val="0071300D"/>
    <w:rsid w:val="00713719"/>
    <w:rsid w:val="00713726"/>
    <w:rsid w:val="0071401B"/>
    <w:rsid w:val="007140AC"/>
    <w:rsid w:val="00714300"/>
    <w:rsid w:val="0071469D"/>
    <w:rsid w:val="00714892"/>
    <w:rsid w:val="0071548B"/>
    <w:rsid w:val="00715873"/>
    <w:rsid w:val="007159A2"/>
    <w:rsid w:val="00716312"/>
    <w:rsid w:val="00716ED8"/>
    <w:rsid w:val="00717A3E"/>
    <w:rsid w:val="00717E0E"/>
    <w:rsid w:val="00720839"/>
    <w:rsid w:val="00721D86"/>
    <w:rsid w:val="00721F4F"/>
    <w:rsid w:val="00722F05"/>
    <w:rsid w:val="00723F0E"/>
    <w:rsid w:val="007242E9"/>
    <w:rsid w:val="007243EF"/>
    <w:rsid w:val="00725D07"/>
    <w:rsid w:val="00727F3B"/>
    <w:rsid w:val="00730898"/>
    <w:rsid w:val="007314F7"/>
    <w:rsid w:val="007317CE"/>
    <w:rsid w:val="00731941"/>
    <w:rsid w:val="00733319"/>
    <w:rsid w:val="00733CC5"/>
    <w:rsid w:val="00735E46"/>
    <w:rsid w:val="00736A4C"/>
    <w:rsid w:val="00737E8A"/>
    <w:rsid w:val="00740C27"/>
    <w:rsid w:val="00742A55"/>
    <w:rsid w:val="00744585"/>
    <w:rsid w:val="0074528B"/>
    <w:rsid w:val="007452E3"/>
    <w:rsid w:val="0074556E"/>
    <w:rsid w:val="00746064"/>
    <w:rsid w:val="007460E0"/>
    <w:rsid w:val="007467B0"/>
    <w:rsid w:val="00746D2A"/>
    <w:rsid w:val="007471DD"/>
    <w:rsid w:val="0074798D"/>
    <w:rsid w:val="0075079F"/>
    <w:rsid w:val="007520DF"/>
    <w:rsid w:val="007523F6"/>
    <w:rsid w:val="00752D59"/>
    <w:rsid w:val="00754912"/>
    <w:rsid w:val="007551BA"/>
    <w:rsid w:val="00755517"/>
    <w:rsid w:val="00755DFB"/>
    <w:rsid w:val="0075600E"/>
    <w:rsid w:val="00756396"/>
    <w:rsid w:val="00756E25"/>
    <w:rsid w:val="007573CC"/>
    <w:rsid w:val="0076026F"/>
    <w:rsid w:val="00760473"/>
    <w:rsid w:val="00760BB8"/>
    <w:rsid w:val="00761449"/>
    <w:rsid w:val="00761F03"/>
    <w:rsid w:val="00762004"/>
    <w:rsid w:val="0076344A"/>
    <w:rsid w:val="00763F91"/>
    <w:rsid w:val="00764739"/>
    <w:rsid w:val="00764ABC"/>
    <w:rsid w:val="00765ACA"/>
    <w:rsid w:val="00765BBF"/>
    <w:rsid w:val="007661DE"/>
    <w:rsid w:val="00766529"/>
    <w:rsid w:val="007672E8"/>
    <w:rsid w:val="007673E3"/>
    <w:rsid w:val="00767C02"/>
    <w:rsid w:val="007703E1"/>
    <w:rsid w:val="0077111D"/>
    <w:rsid w:val="007711C7"/>
    <w:rsid w:val="0077278A"/>
    <w:rsid w:val="007735D2"/>
    <w:rsid w:val="00773DCB"/>
    <w:rsid w:val="007746D9"/>
    <w:rsid w:val="00774970"/>
    <w:rsid w:val="007755EB"/>
    <w:rsid w:val="00775636"/>
    <w:rsid w:val="00775899"/>
    <w:rsid w:val="007758FD"/>
    <w:rsid w:val="00775B1A"/>
    <w:rsid w:val="00775F63"/>
    <w:rsid w:val="007761E9"/>
    <w:rsid w:val="00776228"/>
    <w:rsid w:val="0077722F"/>
    <w:rsid w:val="0077724C"/>
    <w:rsid w:val="007777D9"/>
    <w:rsid w:val="00780FF0"/>
    <w:rsid w:val="00781F1F"/>
    <w:rsid w:val="00782019"/>
    <w:rsid w:val="00782724"/>
    <w:rsid w:val="00782CE4"/>
    <w:rsid w:val="00782EB3"/>
    <w:rsid w:val="00783E40"/>
    <w:rsid w:val="007853B2"/>
    <w:rsid w:val="007859F9"/>
    <w:rsid w:val="007863FA"/>
    <w:rsid w:val="007866E3"/>
    <w:rsid w:val="007867C2"/>
    <w:rsid w:val="00786851"/>
    <w:rsid w:val="0078689C"/>
    <w:rsid w:val="00787FF5"/>
    <w:rsid w:val="007907A3"/>
    <w:rsid w:val="00791C29"/>
    <w:rsid w:val="00791D09"/>
    <w:rsid w:val="0079223D"/>
    <w:rsid w:val="00792505"/>
    <w:rsid w:val="00792941"/>
    <w:rsid w:val="00792F56"/>
    <w:rsid w:val="007948BF"/>
    <w:rsid w:val="00795604"/>
    <w:rsid w:val="00795CC5"/>
    <w:rsid w:val="00796DAB"/>
    <w:rsid w:val="007A05F1"/>
    <w:rsid w:val="007A0E0A"/>
    <w:rsid w:val="007A12B3"/>
    <w:rsid w:val="007A22DE"/>
    <w:rsid w:val="007A2EC7"/>
    <w:rsid w:val="007A3CA3"/>
    <w:rsid w:val="007A4C8E"/>
    <w:rsid w:val="007A522E"/>
    <w:rsid w:val="007A57DE"/>
    <w:rsid w:val="007A6E3A"/>
    <w:rsid w:val="007A7155"/>
    <w:rsid w:val="007B0352"/>
    <w:rsid w:val="007B07C0"/>
    <w:rsid w:val="007B0C37"/>
    <w:rsid w:val="007B1205"/>
    <w:rsid w:val="007B1E30"/>
    <w:rsid w:val="007B24FF"/>
    <w:rsid w:val="007B2627"/>
    <w:rsid w:val="007B27F6"/>
    <w:rsid w:val="007B2A97"/>
    <w:rsid w:val="007B4AF5"/>
    <w:rsid w:val="007B585F"/>
    <w:rsid w:val="007B6AF6"/>
    <w:rsid w:val="007B7441"/>
    <w:rsid w:val="007C11E3"/>
    <w:rsid w:val="007C2766"/>
    <w:rsid w:val="007C2EBF"/>
    <w:rsid w:val="007C3565"/>
    <w:rsid w:val="007C53C1"/>
    <w:rsid w:val="007C7624"/>
    <w:rsid w:val="007D070B"/>
    <w:rsid w:val="007D0A51"/>
    <w:rsid w:val="007D1B61"/>
    <w:rsid w:val="007D1BCD"/>
    <w:rsid w:val="007D1DC8"/>
    <w:rsid w:val="007D1E95"/>
    <w:rsid w:val="007D1FFB"/>
    <w:rsid w:val="007D2687"/>
    <w:rsid w:val="007D2D8F"/>
    <w:rsid w:val="007D2E31"/>
    <w:rsid w:val="007D2ECD"/>
    <w:rsid w:val="007D32B2"/>
    <w:rsid w:val="007D47E4"/>
    <w:rsid w:val="007D4F71"/>
    <w:rsid w:val="007D5883"/>
    <w:rsid w:val="007D61EA"/>
    <w:rsid w:val="007D64F8"/>
    <w:rsid w:val="007D7076"/>
    <w:rsid w:val="007D7707"/>
    <w:rsid w:val="007D7914"/>
    <w:rsid w:val="007D7FB8"/>
    <w:rsid w:val="007E08DB"/>
    <w:rsid w:val="007E222A"/>
    <w:rsid w:val="007E2847"/>
    <w:rsid w:val="007E334D"/>
    <w:rsid w:val="007E33BC"/>
    <w:rsid w:val="007E3762"/>
    <w:rsid w:val="007E419E"/>
    <w:rsid w:val="007E41AF"/>
    <w:rsid w:val="007E52C0"/>
    <w:rsid w:val="007E5469"/>
    <w:rsid w:val="007E5973"/>
    <w:rsid w:val="007E5BDC"/>
    <w:rsid w:val="007E5D9A"/>
    <w:rsid w:val="007E6108"/>
    <w:rsid w:val="007E6E6B"/>
    <w:rsid w:val="007E6FCD"/>
    <w:rsid w:val="007E72FB"/>
    <w:rsid w:val="007E7B7F"/>
    <w:rsid w:val="007E7BE5"/>
    <w:rsid w:val="007F04AD"/>
    <w:rsid w:val="007F0D34"/>
    <w:rsid w:val="007F25B7"/>
    <w:rsid w:val="007F288E"/>
    <w:rsid w:val="007F296D"/>
    <w:rsid w:val="007F3731"/>
    <w:rsid w:val="008004BD"/>
    <w:rsid w:val="008022B6"/>
    <w:rsid w:val="008025CB"/>
    <w:rsid w:val="00802980"/>
    <w:rsid w:val="00803069"/>
    <w:rsid w:val="008042C4"/>
    <w:rsid w:val="00804F34"/>
    <w:rsid w:val="0080581D"/>
    <w:rsid w:val="00805957"/>
    <w:rsid w:val="0080602B"/>
    <w:rsid w:val="00806E09"/>
    <w:rsid w:val="00807689"/>
    <w:rsid w:val="008100ED"/>
    <w:rsid w:val="00810D57"/>
    <w:rsid w:val="00811494"/>
    <w:rsid w:val="008129B4"/>
    <w:rsid w:val="008136A2"/>
    <w:rsid w:val="0081391C"/>
    <w:rsid w:val="008141F0"/>
    <w:rsid w:val="00814AC2"/>
    <w:rsid w:val="008150E7"/>
    <w:rsid w:val="00815304"/>
    <w:rsid w:val="00815756"/>
    <w:rsid w:val="0081584B"/>
    <w:rsid w:val="00815857"/>
    <w:rsid w:val="00816438"/>
    <w:rsid w:val="0081646C"/>
    <w:rsid w:val="00816D67"/>
    <w:rsid w:val="008177A8"/>
    <w:rsid w:val="008202E9"/>
    <w:rsid w:val="008207BC"/>
    <w:rsid w:val="008216BC"/>
    <w:rsid w:val="00822A97"/>
    <w:rsid w:val="008236D8"/>
    <w:rsid w:val="00823E82"/>
    <w:rsid w:val="00824793"/>
    <w:rsid w:val="00825EB2"/>
    <w:rsid w:val="00826257"/>
    <w:rsid w:val="00826BBF"/>
    <w:rsid w:val="00827003"/>
    <w:rsid w:val="00827600"/>
    <w:rsid w:val="008305DF"/>
    <w:rsid w:val="008313F1"/>
    <w:rsid w:val="00831CAA"/>
    <w:rsid w:val="008329A1"/>
    <w:rsid w:val="00833211"/>
    <w:rsid w:val="008339AB"/>
    <w:rsid w:val="00835744"/>
    <w:rsid w:val="00835D2B"/>
    <w:rsid w:val="008362B5"/>
    <w:rsid w:val="00836D5C"/>
    <w:rsid w:val="00837B18"/>
    <w:rsid w:val="008401B5"/>
    <w:rsid w:val="008402FA"/>
    <w:rsid w:val="008430FB"/>
    <w:rsid w:val="008433CA"/>
    <w:rsid w:val="00844A4D"/>
    <w:rsid w:val="00845158"/>
    <w:rsid w:val="00845665"/>
    <w:rsid w:val="0084577D"/>
    <w:rsid w:val="00846227"/>
    <w:rsid w:val="0084641C"/>
    <w:rsid w:val="0084662C"/>
    <w:rsid w:val="0084697B"/>
    <w:rsid w:val="00846BC7"/>
    <w:rsid w:val="00847086"/>
    <w:rsid w:val="00847151"/>
    <w:rsid w:val="00847B26"/>
    <w:rsid w:val="008500FF"/>
    <w:rsid w:val="0085025A"/>
    <w:rsid w:val="00853B0D"/>
    <w:rsid w:val="00855E95"/>
    <w:rsid w:val="008565B8"/>
    <w:rsid w:val="008565C1"/>
    <w:rsid w:val="0086076A"/>
    <w:rsid w:val="00860941"/>
    <w:rsid w:val="008612BB"/>
    <w:rsid w:val="00861A74"/>
    <w:rsid w:val="00863DB1"/>
    <w:rsid w:val="00864119"/>
    <w:rsid w:val="00864733"/>
    <w:rsid w:val="008648FD"/>
    <w:rsid w:val="00867C7D"/>
    <w:rsid w:val="00870136"/>
    <w:rsid w:val="00870949"/>
    <w:rsid w:val="0087139F"/>
    <w:rsid w:val="00872231"/>
    <w:rsid w:val="00872ADA"/>
    <w:rsid w:val="00872D1A"/>
    <w:rsid w:val="00873233"/>
    <w:rsid w:val="008735E1"/>
    <w:rsid w:val="00873CBE"/>
    <w:rsid w:val="00874282"/>
    <w:rsid w:val="0087468E"/>
    <w:rsid w:val="0087580B"/>
    <w:rsid w:val="008758C1"/>
    <w:rsid w:val="008770F6"/>
    <w:rsid w:val="008771DA"/>
    <w:rsid w:val="00877759"/>
    <w:rsid w:val="00880BF4"/>
    <w:rsid w:val="00881021"/>
    <w:rsid w:val="0088131A"/>
    <w:rsid w:val="00881898"/>
    <w:rsid w:val="008826EF"/>
    <w:rsid w:val="0088500B"/>
    <w:rsid w:val="008875D5"/>
    <w:rsid w:val="00887B24"/>
    <w:rsid w:val="00891385"/>
    <w:rsid w:val="008916A0"/>
    <w:rsid w:val="00892411"/>
    <w:rsid w:val="00892578"/>
    <w:rsid w:val="00892D93"/>
    <w:rsid w:val="008936A1"/>
    <w:rsid w:val="00893A83"/>
    <w:rsid w:val="00893C42"/>
    <w:rsid w:val="00893E13"/>
    <w:rsid w:val="00894967"/>
    <w:rsid w:val="00895646"/>
    <w:rsid w:val="00897202"/>
    <w:rsid w:val="00897DDE"/>
    <w:rsid w:val="008A00F9"/>
    <w:rsid w:val="008A055E"/>
    <w:rsid w:val="008A16D2"/>
    <w:rsid w:val="008A1BC1"/>
    <w:rsid w:val="008A1D44"/>
    <w:rsid w:val="008A2975"/>
    <w:rsid w:val="008A4E09"/>
    <w:rsid w:val="008A4F00"/>
    <w:rsid w:val="008A5ACA"/>
    <w:rsid w:val="008A5B8A"/>
    <w:rsid w:val="008A5E81"/>
    <w:rsid w:val="008A65B3"/>
    <w:rsid w:val="008A6D2B"/>
    <w:rsid w:val="008A6FBE"/>
    <w:rsid w:val="008A75B8"/>
    <w:rsid w:val="008A79B3"/>
    <w:rsid w:val="008B105D"/>
    <w:rsid w:val="008B125D"/>
    <w:rsid w:val="008B1284"/>
    <w:rsid w:val="008B184D"/>
    <w:rsid w:val="008B250F"/>
    <w:rsid w:val="008B35B0"/>
    <w:rsid w:val="008B437B"/>
    <w:rsid w:val="008B4FF6"/>
    <w:rsid w:val="008B56F8"/>
    <w:rsid w:val="008B5A22"/>
    <w:rsid w:val="008B799C"/>
    <w:rsid w:val="008B7B70"/>
    <w:rsid w:val="008C014E"/>
    <w:rsid w:val="008C015C"/>
    <w:rsid w:val="008C072F"/>
    <w:rsid w:val="008C177E"/>
    <w:rsid w:val="008C1CC3"/>
    <w:rsid w:val="008C226C"/>
    <w:rsid w:val="008C33BE"/>
    <w:rsid w:val="008C4179"/>
    <w:rsid w:val="008C57D1"/>
    <w:rsid w:val="008C58D8"/>
    <w:rsid w:val="008C629F"/>
    <w:rsid w:val="008C723A"/>
    <w:rsid w:val="008C725C"/>
    <w:rsid w:val="008C7B25"/>
    <w:rsid w:val="008D0061"/>
    <w:rsid w:val="008D00DA"/>
    <w:rsid w:val="008D010F"/>
    <w:rsid w:val="008D04FC"/>
    <w:rsid w:val="008D05D3"/>
    <w:rsid w:val="008D07F0"/>
    <w:rsid w:val="008D109B"/>
    <w:rsid w:val="008D177F"/>
    <w:rsid w:val="008D1800"/>
    <w:rsid w:val="008D2724"/>
    <w:rsid w:val="008D3415"/>
    <w:rsid w:val="008D3BD0"/>
    <w:rsid w:val="008D46E6"/>
    <w:rsid w:val="008D503D"/>
    <w:rsid w:val="008D5C77"/>
    <w:rsid w:val="008D662E"/>
    <w:rsid w:val="008D6746"/>
    <w:rsid w:val="008D6978"/>
    <w:rsid w:val="008D71BE"/>
    <w:rsid w:val="008D7250"/>
    <w:rsid w:val="008D75AF"/>
    <w:rsid w:val="008D7D93"/>
    <w:rsid w:val="008E1979"/>
    <w:rsid w:val="008E1C17"/>
    <w:rsid w:val="008E1D48"/>
    <w:rsid w:val="008E2081"/>
    <w:rsid w:val="008E2D9D"/>
    <w:rsid w:val="008E3B08"/>
    <w:rsid w:val="008E4AE9"/>
    <w:rsid w:val="008E4DD4"/>
    <w:rsid w:val="008E557A"/>
    <w:rsid w:val="008E59B0"/>
    <w:rsid w:val="008E62FA"/>
    <w:rsid w:val="008F0B5E"/>
    <w:rsid w:val="008F0C51"/>
    <w:rsid w:val="008F1C21"/>
    <w:rsid w:val="008F1C25"/>
    <w:rsid w:val="008F2664"/>
    <w:rsid w:val="008F2AA6"/>
    <w:rsid w:val="008F2DDB"/>
    <w:rsid w:val="008F32A6"/>
    <w:rsid w:val="008F33C6"/>
    <w:rsid w:val="008F34A6"/>
    <w:rsid w:val="008F377A"/>
    <w:rsid w:val="008F7353"/>
    <w:rsid w:val="008F73B9"/>
    <w:rsid w:val="008F74CE"/>
    <w:rsid w:val="009003E8"/>
    <w:rsid w:val="009005D1"/>
    <w:rsid w:val="00900622"/>
    <w:rsid w:val="00900CB0"/>
    <w:rsid w:val="00901C8E"/>
    <w:rsid w:val="009023D7"/>
    <w:rsid w:val="0090293E"/>
    <w:rsid w:val="0090353C"/>
    <w:rsid w:val="00903606"/>
    <w:rsid w:val="0090363C"/>
    <w:rsid w:val="00903DCF"/>
    <w:rsid w:val="00903E28"/>
    <w:rsid w:val="0090448E"/>
    <w:rsid w:val="009047A0"/>
    <w:rsid w:val="0090528C"/>
    <w:rsid w:val="00905835"/>
    <w:rsid w:val="00907B59"/>
    <w:rsid w:val="00907EBD"/>
    <w:rsid w:val="00910575"/>
    <w:rsid w:val="00910893"/>
    <w:rsid w:val="00910944"/>
    <w:rsid w:val="00910AD8"/>
    <w:rsid w:val="00910E23"/>
    <w:rsid w:val="009115F7"/>
    <w:rsid w:val="009116A9"/>
    <w:rsid w:val="009117D0"/>
    <w:rsid w:val="00911A19"/>
    <w:rsid w:val="00911B63"/>
    <w:rsid w:val="009120E0"/>
    <w:rsid w:val="009128D3"/>
    <w:rsid w:val="00914A2A"/>
    <w:rsid w:val="00915495"/>
    <w:rsid w:val="009161D6"/>
    <w:rsid w:val="00916CAF"/>
    <w:rsid w:val="00917769"/>
    <w:rsid w:val="0092248D"/>
    <w:rsid w:val="00922517"/>
    <w:rsid w:val="00922F2F"/>
    <w:rsid w:val="00923600"/>
    <w:rsid w:val="00923896"/>
    <w:rsid w:val="0092397D"/>
    <w:rsid w:val="009247F8"/>
    <w:rsid w:val="00924894"/>
    <w:rsid w:val="00924C2E"/>
    <w:rsid w:val="00925D86"/>
    <w:rsid w:val="00925F17"/>
    <w:rsid w:val="00925F4D"/>
    <w:rsid w:val="009303DE"/>
    <w:rsid w:val="00930BAA"/>
    <w:rsid w:val="009311B2"/>
    <w:rsid w:val="009329B1"/>
    <w:rsid w:val="00933DFD"/>
    <w:rsid w:val="00933EA7"/>
    <w:rsid w:val="00933F1A"/>
    <w:rsid w:val="00934901"/>
    <w:rsid w:val="00935839"/>
    <w:rsid w:val="00935931"/>
    <w:rsid w:val="00935AA7"/>
    <w:rsid w:val="00936834"/>
    <w:rsid w:val="00936927"/>
    <w:rsid w:val="0093711F"/>
    <w:rsid w:val="0094013A"/>
    <w:rsid w:val="00940C32"/>
    <w:rsid w:val="00941175"/>
    <w:rsid w:val="009412A5"/>
    <w:rsid w:val="0094237E"/>
    <w:rsid w:val="00943674"/>
    <w:rsid w:val="009436E0"/>
    <w:rsid w:val="00945C12"/>
    <w:rsid w:val="00945DE3"/>
    <w:rsid w:val="00946C6C"/>
    <w:rsid w:val="00946F4D"/>
    <w:rsid w:val="009501D5"/>
    <w:rsid w:val="00950CFF"/>
    <w:rsid w:val="009511AB"/>
    <w:rsid w:val="00951567"/>
    <w:rsid w:val="00952DB9"/>
    <w:rsid w:val="0095351F"/>
    <w:rsid w:val="00953BB6"/>
    <w:rsid w:val="009552F1"/>
    <w:rsid w:val="009553BD"/>
    <w:rsid w:val="00955D37"/>
    <w:rsid w:val="00961EBA"/>
    <w:rsid w:val="00961EF9"/>
    <w:rsid w:val="0096204E"/>
    <w:rsid w:val="00964E5D"/>
    <w:rsid w:val="009658E5"/>
    <w:rsid w:val="00966D5E"/>
    <w:rsid w:val="00967544"/>
    <w:rsid w:val="00967CA8"/>
    <w:rsid w:val="00970A04"/>
    <w:rsid w:val="00970EB9"/>
    <w:rsid w:val="00971808"/>
    <w:rsid w:val="00971B5E"/>
    <w:rsid w:val="00971C71"/>
    <w:rsid w:val="00971DFC"/>
    <w:rsid w:val="0097239B"/>
    <w:rsid w:val="00972E94"/>
    <w:rsid w:val="00973621"/>
    <w:rsid w:val="009739B1"/>
    <w:rsid w:val="00973A03"/>
    <w:rsid w:val="00973A32"/>
    <w:rsid w:val="00973B94"/>
    <w:rsid w:val="00975664"/>
    <w:rsid w:val="00976135"/>
    <w:rsid w:val="0097652F"/>
    <w:rsid w:val="00976B40"/>
    <w:rsid w:val="009801F3"/>
    <w:rsid w:val="00980B87"/>
    <w:rsid w:val="00982116"/>
    <w:rsid w:val="00982B20"/>
    <w:rsid w:val="009836CA"/>
    <w:rsid w:val="00983EE6"/>
    <w:rsid w:val="00984476"/>
    <w:rsid w:val="00984730"/>
    <w:rsid w:val="00990CE3"/>
    <w:rsid w:val="00991B14"/>
    <w:rsid w:val="00991DAF"/>
    <w:rsid w:val="0099205F"/>
    <w:rsid w:val="009934B3"/>
    <w:rsid w:val="00993B68"/>
    <w:rsid w:val="00993D3B"/>
    <w:rsid w:val="0099487F"/>
    <w:rsid w:val="00994D39"/>
    <w:rsid w:val="00995560"/>
    <w:rsid w:val="00996ADC"/>
    <w:rsid w:val="00996C5F"/>
    <w:rsid w:val="009973EB"/>
    <w:rsid w:val="009974B3"/>
    <w:rsid w:val="00997EF9"/>
    <w:rsid w:val="009A08F2"/>
    <w:rsid w:val="009A0DC9"/>
    <w:rsid w:val="009A128B"/>
    <w:rsid w:val="009A12DD"/>
    <w:rsid w:val="009A1A21"/>
    <w:rsid w:val="009A2453"/>
    <w:rsid w:val="009A31D8"/>
    <w:rsid w:val="009A35D5"/>
    <w:rsid w:val="009A3756"/>
    <w:rsid w:val="009A51CD"/>
    <w:rsid w:val="009A53C7"/>
    <w:rsid w:val="009A5648"/>
    <w:rsid w:val="009A5870"/>
    <w:rsid w:val="009A5E4C"/>
    <w:rsid w:val="009A6660"/>
    <w:rsid w:val="009A6D5A"/>
    <w:rsid w:val="009A79C9"/>
    <w:rsid w:val="009A7AB9"/>
    <w:rsid w:val="009A7E8A"/>
    <w:rsid w:val="009A7F7F"/>
    <w:rsid w:val="009B03C6"/>
    <w:rsid w:val="009B06BA"/>
    <w:rsid w:val="009B1D1D"/>
    <w:rsid w:val="009B461C"/>
    <w:rsid w:val="009B5DA0"/>
    <w:rsid w:val="009B75B2"/>
    <w:rsid w:val="009B75D9"/>
    <w:rsid w:val="009C026E"/>
    <w:rsid w:val="009C0F13"/>
    <w:rsid w:val="009C1DC9"/>
    <w:rsid w:val="009C2E1C"/>
    <w:rsid w:val="009C361D"/>
    <w:rsid w:val="009C3B7C"/>
    <w:rsid w:val="009C425F"/>
    <w:rsid w:val="009C44B3"/>
    <w:rsid w:val="009C492D"/>
    <w:rsid w:val="009C557A"/>
    <w:rsid w:val="009C7021"/>
    <w:rsid w:val="009C76EB"/>
    <w:rsid w:val="009C7CB4"/>
    <w:rsid w:val="009D09AE"/>
    <w:rsid w:val="009D1B5A"/>
    <w:rsid w:val="009D1C8D"/>
    <w:rsid w:val="009D1ECC"/>
    <w:rsid w:val="009D28FE"/>
    <w:rsid w:val="009D2A57"/>
    <w:rsid w:val="009D2DD2"/>
    <w:rsid w:val="009D44D7"/>
    <w:rsid w:val="009D5049"/>
    <w:rsid w:val="009D5525"/>
    <w:rsid w:val="009D6EA8"/>
    <w:rsid w:val="009D7B97"/>
    <w:rsid w:val="009E0C10"/>
    <w:rsid w:val="009E1CD3"/>
    <w:rsid w:val="009E1D2B"/>
    <w:rsid w:val="009E23F8"/>
    <w:rsid w:val="009E2450"/>
    <w:rsid w:val="009E4DEB"/>
    <w:rsid w:val="009E559B"/>
    <w:rsid w:val="009E649C"/>
    <w:rsid w:val="009E6762"/>
    <w:rsid w:val="009E7DA9"/>
    <w:rsid w:val="009F060D"/>
    <w:rsid w:val="009F0F58"/>
    <w:rsid w:val="009F123C"/>
    <w:rsid w:val="009F1ABF"/>
    <w:rsid w:val="009F2FA7"/>
    <w:rsid w:val="009F36A3"/>
    <w:rsid w:val="009F385A"/>
    <w:rsid w:val="009F5BC7"/>
    <w:rsid w:val="009F7472"/>
    <w:rsid w:val="009F7482"/>
    <w:rsid w:val="009F750F"/>
    <w:rsid w:val="00A0117E"/>
    <w:rsid w:val="00A0163B"/>
    <w:rsid w:val="00A01A70"/>
    <w:rsid w:val="00A01AB9"/>
    <w:rsid w:val="00A03081"/>
    <w:rsid w:val="00A04A64"/>
    <w:rsid w:val="00A04B8E"/>
    <w:rsid w:val="00A06F28"/>
    <w:rsid w:val="00A10816"/>
    <w:rsid w:val="00A10DF1"/>
    <w:rsid w:val="00A11DE9"/>
    <w:rsid w:val="00A1213F"/>
    <w:rsid w:val="00A138A4"/>
    <w:rsid w:val="00A14806"/>
    <w:rsid w:val="00A14D82"/>
    <w:rsid w:val="00A157AE"/>
    <w:rsid w:val="00A1598C"/>
    <w:rsid w:val="00A160C7"/>
    <w:rsid w:val="00A1635A"/>
    <w:rsid w:val="00A16A8A"/>
    <w:rsid w:val="00A17EB8"/>
    <w:rsid w:val="00A20217"/>
    <w:rsid w:val="00A20B1D"/>
    <w:rsid w:val="00A21AD1"/>
    <w:rsid w:val="00A22305"/>
    <w:rsid w:val="00A2252E"/>
    <w:rsid w:val="00A23E9A"/>
    <w:rsid w:val="00A241D4"/>
    <w:rsid w:val="00A243B8"/>
    <w:rsid w:val="00A24580"/>
    <w:rsid w:val="00A25318"/>
    <w:rsid w:val="00A26595"/>
    <w:rsid w:val="00A26785"/>
    <w:rsid w:val="00A26B76"/>
    <w:rsid w:val="00A27423"/>
    <w:rsid w:val="00A27993"/>
    <w:rsid w:val="00A3001B"/>
    <w:rsid w:val="00A3004C"/>
    <w:rsid w:val="00A31272"/>
    <w:rsid w:val="00A31635"/>
    <w:rsid w:val="00A3194D"/>
    <w:rsid w:val="00A329D2"/>
    <w:rsid w:val="00A338B4"/>
    <w:rsid w:val="00A33B22"/>
    <w:rsid w:val="00A33D48"/>
    <w:rsid w:val="00A33E15"/>
    <w:rsid w:val="00A3400F"/>
    <w:rsid w:val="00A348D3"/>
    <w:rsid w:val="00A3525F"/>
    <w:rsid w:val="00A35967"/>
    <w:rsid w:val="00A3628B"/>
    <w:rsid w:val="00A3685E"/>
    <w:rsid w:val="00A36DD0"/>
    <w:rsid w:val="00A37D27"/>
    <w:rsid w:val="00A41536"/>
    <w:rsid w:val="00A41BAF"/>
    <w:rsid w:val="00A41BE6"/>
    <w:rsid w:val="00A41FEC"/>
    <w:rsid w:val="00A42526"/>
    <w:rsid w:val="00A42CF1"/>
    <w:rsid w:val="00A4352B"/>
    <w:rsid w:val="00A43753"/>
    <w:rsid w:val="00A4484F"/>
    <w:rsid w:val="00A449D1"/>
    <w:rsid w:val="00A4509F"/>
    <w:rsid w:val="00A451C5"/>
    <w:rsid w:val="00A451D5"/>
    <w:rsid w:val="00A455E4"/>
    <w:rsid w:val="00A45D26"/>
    <w:rsid w:val="00A47858"/>
    <w:rsid w:val="00A47917"/>
    <w:rsid w:val="00A479DC"/>
    <w:rsid w:val="00A47ADC"/>
    <w:rsid w:val="00A47EC3"/>
    <w:rsid w:val="00A50944"/>
    <w:rsid w:val="00A51D36"/>
    <w:rsid w:val="00A522E4"/>
    <w:rsid w:val="00A54414"/>
    <w:rsid w:val="00A545A2"/>
    <w:rsid w:val="00A554A8"/>
    <w:rsid w:val="00A55F26"/>
    <w:rsid w:val="00A563BC"/>
    <w:rsid w:val="00A564AC"/>
    <w:rsid w:val="00A56851"/>
    <w:rsid w:val="00A5706B"/>
    <w:rsid w:val="00A57A36"/>
    <w:rsid w:val="00A57A4D"/>
    <w:rsid w:val="00A57CF0"/>
    <w:rsid w:val="00A60007"/>
    <w:rsid w:val="00A60026"/>
    <w:rsid w:val="00A60CB2"/>
    <w:rsid w:val="00A6133A"/>
    <w:rsid w:val="00A61435"/>
    <w:rsid w:val="00A62018"/>
    <w:rsid w:val="00A620B9"/>
    <w:rsid w:val="00A62142"/>
    <w:rsid w:val="00A62F22"/>
    <w:rsid w:val="00A62FF1"/>
    <w:rsid w:val="00A633AD"/>
    <w:rsid w:val="00A637C1"/>
    <w:rsid w:val="00A63F69"/>
    <w:rsid w:val="00A6571F"/>
    <w:rsid w:val="00A6594C"/>
    <w:rsid w:val="00A65E85"/>
    <w:rsid w:val="00A65F6E"/>
    <w:rsid w:val="00A670A9"/>
    <w:rsid w:val="00A67994"/>
    <w:rsid w:val="00A70182"/>
    <w:rsid w:val="00A70554"/>
    <w:rsid w:val="00A705E7"/>
    <w:rsid w:val="00A71716"/>
    <w:rsid w:val="00A717E9"/>
    <w:rsid w:val="00A71B2F"/>
    <w:rsid w:val="00A71D1B"/>
    <w:rsid w:val="00A72739"/>
    <w:rsid w:val="00A72D25"/>
    <w:rsid w:val="00A745AB"/>
    <w:rsid w:val="00A747EE"/>
    <w:rsid w:val="00A74840"/>
    <w:rsid w:val="00A750C0"/>
    <w:rsid w:val="00A75B4C"/>
    <w:rsid w:val="00A80B23"/>
    <w:rsid w:val="00A80DAF"/>
    <w:rsid w:val="00A81E6B"/>
    <w:rsid w:val="00A82D20"/>
    <w:rsid w:val="00A82DF8"/>
    <w:rsid w:val="00A833F5"/>
    <w:rsid w:val="00A836E5"/>
    <w:rsid w:val="00A8477E"/>
    <w:rsid w:val="00A849FB"/>
    <w:rsid w:val="00A84C8E"/>
    <w:rsid w:val="00A84EB4"/>
    <w:rsid w:val="00A90496"/>
    <w:rsid w:val="00A914DC"/>
    <w:rsid w:val="00A91919"/>
    <w:rsid w:val="00A93062"/>
    <w:rsid w:val="00A930AA"/>
    <w:rsid w:val="00A93E92"/>
    <w:rsid w:val="00A93F9A"/>
    <w:rsid w:val="00A95A70"/>
    <w:rsid w:val="00A9777D"/>
    <w:rsid w:val="00A97831"/>
    <w:rsid w:val="00AA0152"/>
    <w:rsid w:val="00AA1CF7"/>
    <w:rsid w:val="00AA2998"/>
    <w:rsid w:val="00AA3DA8"/>
    <w:rsid w:val="00AA4442"/>
    <w:rsid w:val="00AA51C6"/>
    <w:rsid w:val="00AA531B"/>
    <w:rsid w:val="00AA6670"/>
    <w:rsid w:val="00AA6C6B"/>
    <w:rsid w:val="00AB0064"/>
    <w:rsid w:val="00AB02EE"/>
    <w:rsid w:val="00AB07FC"/>
    <w:rsid w:val="00AB0B41"/>
    <w:rsid w:val="00AB1A95"/>
    <w:rsid w:val="00AB1FF1"/>
    <w:rsid w:val="00AB349F"/>
    <w:rsid w:val="00AB3764"/>
    <w:rsid w:val="00AB4092"/>
    <w:rsid w:val="00AB40AD"/>
    <w:rsid w:val="00AB4A3A"/>
    <w:rsid w:val="00AB4D7A"/>
    <w:rsid w:val="00AB72EF"/>
    <w:rsid w:val="00AB72F1"/>
    <w:rsid w:val="00AB7F98"/>
    <w:rsid w:val="00AC027B"/>
    <w:rsid w:val="00AC04D7"/>
    <w:rsid w:val="00AC16AF"/>
    <w:rsid w:val="00AC22A3"/>
    <w:rsid w:val="00AC2447"/>
    <w:rsid w:val="00AC2EFE"/>
    <w:rsid w:val="00AC4139"/>
    <w:rsid w:val="00AC48DC"/>
    <w:rsid w:val="00AC589A"/>
    <w:rsid w:val="00AC58D7"/>
    <w:rsid w:val="00AC5C4E"/>
    <w:rsid w:val="00AC5DE7"/>
    <w:rsid w:val="00AC748F"/>
    <w:rsid w:val="00AC7955"/>
    <w:rsid w:val="00AC7B3F"/>
    <w:rsid w:val="00AD02CC"/>
    <w:rsid w:val="00AD0926"/>
    <w:rsid w:val="00AD242B"/>
    <w:rsid w:val="00AD6243"/>
    <w:rsid w:val="00AD6514"/>
    <w:rsid w:val="00AD742C"/>
    <w:rsid w:val="00AD7717"/>
    <w:rsid w:val="00AD7A66"/>
    <w:rsid w:val="00AD7DC2"/>
    <w:rsid w:val="00AD7EDC"/>
    <w:rsid w:val="00AE0207"/>
    <w:rsid w:val="00AE0540"/>
    <w:rsid w:val="00AE0C59"/>
    <w:rsid w:val="00AE10D8"/>
    <w:rsid w:val="00AE114A"/>
    <w:rsid w:val="00AE12C2"/>
    <w:rsid w:val="00AE13A1"/>
    <w:rsid w:val="00AE1A4B"/>
    <w:rsid w:val="00AE2009"/>
    <w:rsid w:val="00AE252B"/>
    <w:rsid w:val="00AE34BC"/>
    <w:rsid w:val="00AE3CE0"/>
    <w:rsid w:val="00AE44E9"/>
    <w:rsid w:val="00AE473B"/>
    <w:rsid w:val="00AE47CF"/>
    <w:rsid w:val="00AE486A"/>
    <w:rsid w:val="00AE4ED0"/>
    <w:rsid w:val="00AE522D"/>
    <w:rsid w:val="00AE650A"/>
    <w:rsid w:val="00AE6AEB"/>
    <w:rsid w:val="00AE6D4E"/>
    <w:rsid w:val="00AE7167"/>
    <w:rsid w:val="00AE7ECD"/>
    <w:rsid w:val="00AF0496"/>
    <w:rsid w:val="00AF08F4"/>
    <w:rsid w:val="00AF0C2C"/>
    <w:rsid w:val="00AF0DC6"/>
    <w:rsid w:val="00AF0F30"/>
    <w:rsid w:val="00AF12F8"/>
    <w:rsid w:val="00AF211B"/>
    <w:rsid w:val="00AF2EB8"/>
    <w:rsid w:val="00AF34CE"/>
    <w:rsid w:val="00AF5AE2"/>
    <w:rsid w:val="00AF5E2D"/>
    <w:rsid w:val="00AF6C41"/>
    <w:rsid w:val="00AF6D60"/>
    <w:rsid w:val="00AF76A9"/>
    <w:rsid w:val="00AF7BC7"/>
    <w:rsid w:val="00AF7FD0"/>
    <w:rsid w:val="00B016F2"/>
    <w:rsid w:val="00B0416D"/>
    <w:rsid w:val="00B04612"/>
    <w:rsid w:val="00B05307"/>
    <w:rsid w:val="00B05AD5"/>
    <w:rsid w:val="00B05FD5"/>
    <w:rsid w:val="00B06026"/>
    <w:rsid w:val="00B06A19"/>
    <w:rsid w:val="00B07443"/>
    <w:rsid w:val="00B10312"/>
    <w:rsid w:val="00B1092D"/>
    <w:rsid w:val="00B10A43"/>
    <w:rsid w:val="00B10B58"/>
    <w:rsid w:val="00B10D85"/>
    <w:rsid w:val="00B10D88"/>
    <w:rsid w:val="00B10E47"/>
    <w:rsid w:val="00B10FE0"/>
    <w:rsid w:val="00B1160C"/>
    <w:rsid w:val="00B1247D"/>
    <w:rsid w:val="00B125D0"/>
    <w:rsid w:val="00B12D3F"/>
    <w:rsid w:val="00B134A6"/>
    <w:rsid w:val="00B14408"/>
    <w:rsid w:val="00B14F84"/>
    <w:rsid w:val="00B154B9"/>
    <w:rsid w:val="00B15B4D"/>
    <w:rsid w:val="00B161DD"/>
    <w:rsid w:val="00B16A90"/>
    <w:rsid w:val="00B17101"/>
    <w:rsid w:val="00B17291"/>
    <w:rsid w:val="00B179C4"/>
    <w:rsid w:val="00B211A5"/>
    <w:rsid w:val="00B2164E"/>
    <w:rsid w:val="00B22447"/>
    <w:rsid w:val="00B229FE"/>
    <w:rsid w:val="00B24B5E"/>
    <w:rsid w:val="00B259B3"/>
    <w:rsid w:val="00B25B69"/>
    <w:rsid w:val="00B262FF"/>
    <w:rsid w:val="00B2641C"/>
    <w:rsid w:val="00B27BAF"/>
    <w:rsid w:val="00B3016C"/>
    <w:rsid w:val="00B30665"/>
    <w:rsid w:val="00B30AEF"/>
    <w:rsid w:val="00B30BB6"/>
    <w:rsid w:val="00B31334"/>
    <w:rsid w:val="00B319AD"/>
    <w:rsid w:val="00B31AE7"/>
    <w:rsid w:val="00B3244A"/>
    <w:rsid w:val="00B3404E"/>
    <w:rsid w:val="00B349E6"/>
    <w:rsid w:val="00B35D1E"/>
    <w:rsid w:val="00B37396"/>
    <w:rsid w:val="00B377EB"/>
    <w:rsid w:val="00B37C96"/>
    <w:rsid w:val="00B403E3"/>
    <w:rsid w:val="00B40477"/>
    <w:rsid w:val="00B4132F"/>
    <w:rsid w:val="00B41962"/>
    <w:rsid w:val="00B41E0D"/>
    <w:rsid w:val="00B42372"/>
    <w:rsid w:val="00B4258F"/>
    <w:rsid w:val="00B42FFD"/>
    <w:rsid w:val="00B438B8"/>
    <w:rsid w:val="00B441F2"/>
    <w:rsid w:val="00B44257"/>
    <w:rsid w:val="00B445F4"/>
    <w:rsid w:val="00B44BF2"/>
    <w:rsid w:val="00B4526F"/>
    <w:rsid w:val="00B45435"/>
    <w:rsid w:val="00B46F45"/>
    <w:rsid w:val="00B477E6"/>
    <w:rsid w:val="00B501E0"/>
    <w:rsid w:val="00B514E0"/>
    <w:rsid w:val="00B51A91"/>
    <w:rsid w:val="00B53184"/>
    <w:rsid w:val="00B546AB"/>
    <w:rsid w:val="00B5470B"/>
    <w:rsid w:val="00B55259"/>
    <w:rsid w:val="00B556B8"/>
    <w:rsid w:val="00B56648"/>
    <w:rsid w:val="00B60243"/>
    <w:rsid w:val="00B607D7"/>
    <w:rsid w:val="00B619A9"/>
    <w:rsid w:val="00B620C1"/>
    <w:rsid w:val="00B62228"/>
    <w:rsid w:val="00B624D7"/>
    <w:rsid w:val="00B62A87"/>
    <w:rsid w:val="00B631E6"/>
    <w:rsid w:val="00B6406F"/>
    <w:rsid w:val="00B64452"/>
    <w:rsid w:val="00B64709"/>
    <w:rsid w:val="00B64B58"/>
    <w:rsid w:val="00B64CC5"/>
    <w:rsid w:val="00B6609A"/>
    <w:rsid w:val="00B66C84"/>
    <w:rsid w:val="00B671E3"/>
    <w:rsid w:val="00B7017B"/>
    <w:rsid w:val="00B704F6"/>
    <w:rsid w:val="00B70A0B"/>
    <w:rsid w:val="00B71963"/>
    <w:rsid w:val="00B71B59"/>
    <w:rsid w:val="00B71D36"/>
    <w:rsid w:val="00B72746"/>
    <w:rsid w:val="00B746DD"/>
    <w:rsid w:val="00B7517D"/>
    <w:rsid w:val="00B751CC"/>
    <w:rsid w:val="00B771A9"/>
    <w:rsid w:val="00B77981"/>
    <w:rsid w:val="00B77C46"/>
    <w:rsid w:val="00B81624"/>
    <w:rsid w:val="00B81FC3"/>
    <w:rsid w:val="00B822A8"/>
    <w:rsid w:val="00B8288F"/>
    <w:rsid w:val="00B82CB6"/>
    <w:rsid w:val="00B8379B"/>
    <w:rsid w:val="00B846A7"/>
    <w:rsid w:val="00B85034"/>
    <w:rsid w:val="00B851F5"/>
    <w:rsid w:val="00B85780"/>
    <w:rsid w:val="00B857B3"/>
    <w:rsid w:val="00B8589D"/>
    <w:rsid w:val="00B86493"/>
    <w:rsid w:val="00B868C3"/>
    <w:rsid w:val="00B8692E"/>
    <w:rsid w:val="00B875D6"/>
    <w:rsid w:val="00B87E2E"/>
    <w:rsid w:val="00B90AB9"/>
    <w:rsid w:val="00B91516"/>
    <w:rsid w:val="00B91D6C"/>
    <w:rsid w:val="00B922D3"/>
    <w:rsid w:val="00B92409"/>
    <w:rsid w:val="00B93109"/>
    <w:rsid w:val="00B94CD3"/>
    <w:rsid w:val="00B959F7"/>
    <w:rsid w:val="00B96396"/>
    <w:rsid w:val="00B96CCE"/>
    <w:rsid w:val="00B96DE0"/>
    <w:rsid w:val="00B976C4"/>
    <w:rsid w:val="00B9794D"/>
    <w:rsid w:val="00B97C7C"/>
    <w:rsid w:val="00B97D13"/>
    <w:rsid w:val="00B97D29"/>
    <w:rsid w:val="00BA0A3C"/>
    <w:rsid w:val="00BA1041"/>
    <w:rsid w:val="00BA1CCD"/>
    <w:rsid w:val="00BA1CF3"/>
    <w:rsid w:val="00BA2838"/>
    <w:rsid w:val="00BA292B"/>
    <w:rsid w:val="00BA35D6"/>
    <w:rsid w:val="00BA38E4"/>
    <w:rsid w:val="00BA3E27"/>
    <w:rsid w:val="00BA47CC"/>
    <w:rsid w:val="00BA4936"/>
    <w:rsid w:val="00BA4FDE"/>
    <w:rsid w:val="00BA5E93"/>
    <w:rsid w:val="00BA5F67"/>
    <w:rsid w:val="00BA66E4"/>
    <w:rsid w:val="00BA6CF6"/>
    <w:rsid w:val="00BA7EDE"/>
    <w:rsid w:val="00BB0117"/>
    <w:rsid w:val="00BB2C5A"/>
    <w:rsid w:val="00BB35AA"/>
    <w:rsid w:val="00BB3BCD"/>
    <w:rsid w:val="00BB4126"/>
    <w:rsid w:val="00BB50F7"/>
    <w:rsid w:val="00BB5E65"/>
    <w:rsid w:val="00BB5F0C"/>
    <w:rsid w:val="00BB66F4"/>
    <w:rsid w:val="00BB67EA"/>
    <w:rsid w:val="00BC00E1"/>
    <w:rsid w:val="00BC08EA"/>
    <w:rsid w:val="00BC09C0"/>
    <w:rsid w:val="00BC0D41"/>
    <w:rsid w:val="00BC0EE8"/>
    <w:rsid w:val="00BC26DC"/>
    <w:rsid w:val="00BC37D0"/>
    <w:rsid w:val="00BC3DE7"/>
    <w:rsid w:val="00BC542B"/>
    <w:rsid w:val="00BC55EC"/>
    <w:rsid w:val="00BC57B8"/>
    <w:rsid w:val="00BC58DB"/>
    <w:rsid w:val="00BC5CA3"/>
    <w:rsid w:val="00BC5CEC"/>
    <w:rsid w:val="00BC629E"/>
    <w:rsid w:val="00BC6946"/>
    <w:rsid w:val="00BC69D6"/>
    <w:rsid w:val="00BD02CE"/>
    <w:rsid w:val="00BD0549"/>
    <w:rsid w:val="00BD0616"/>
    <w:rsid w:val="00BD09AA"/>
    <w:rsid w:val="00BD1B92"/>
    <w:rsid w:val="00BD1BE0"/>
    <w:rsid w:val="00BD38EF"/>
    <w:rsid w:val="00BD3970"/>
    <w:rsid w:val="00BD3B7D"/>
    <w:rsid w:val="00BD4B3F"/>
    <w:rsid w:val="00BD4D3C"/>
    <w:rsid w:val="00BD4D77"/>
    <w:rsid w:val="00BD4F48"/>
    <w:rsid w:val="00BD514A"/>
    <w:rsid w:val="00BD6420"/>
    <w:rsid w:val="00BD69CC"/>
    <w:rsid w:val="00BD6F5C"/>
    <w:rsid w:val="00BD725D"/>
    <w:rsid w:val="00BE0075"/>
    <w:rsid w:val="00BE027B"/>
    <w:rsid w:val="00BE07D8"/>
    <w:rsid w:val="00BE0965"/>
    <w:rsid w:val="00BE1790"/>
    <w:rsid w:val="00BE2824"/>
    <w:rsid w:val="00BE28C8"/>
    <w:rsid w:val="00BE327E"/>
    <w:rsid w:val="00BE39A3"/>
    <w:rsid w:val="00BE3A1F"/>
    <w:rsid w:val="00BE3A34"/>
    <w:rsid w:val="00BE4F14"/>
    <w:rsid w:val="00BE560E"/>
    <w:rsid w:val="00BE5DD8"/>
    <w:rsid w:val="00BE69D8"/>
    <w:rsid w:val="00BE783C"/>
    <w:rsid w:val="00BE7985"/>
    <w:rsid w:val="00BF0819"/>
    <w:rsid w:val="00BF1C75"/>
    <w:rsid w:val="00BF2143"/>
    <w:rsid w:val="00BF347F"/>
    <w:rsid w:val="00BF4470"/>
    <w:rsid w:val="00BF5BB0"/>
    <w:rsid w:val="00BF7305"/>
    <w:rsid w:val="00BF744C"/>
    <w:rsid w:val="00BF765E"/>
    <w:rsid w:val="00BF7AD3"/>
    <w:rsid w:val="00C00093"/>
    <w:rsid w:val="00C005CE"/>
    <w:rsid w:val="00C00A8C"/>
    <w:rsid w:val="00C01D4D"/>
    <w:rsid w:val="00C02323"/>
    <w:rsid w:val="00C02A1C"/>
    <w:rsid w:val="00C02BC7"/>
    <w:rsid w:val="00C0409D"/>
    <w:rsid w:val="00C04351"/>
    <w:rsid w:val="00C05706"/>
    <w:rsid w:val="00C05892"/>
    <w:rsid w:val="00C05DAC"/>
    <w:rsid w:val="00C05F01"/>
    <w:rsid w:val="00C0678E"/>
    <w:rsid w:val="00C06D02"/>
    <w:rsid w:val="00C0772F"/>
    <w:rsid w:val="00C13A48"/>
    <w:rsid w:val="00C13D1A"/>
    <w:rsid w:val="00C14546"/>
    <w:rsid w:val="00C14706"/>
    <w:rsid w:val="00C148AF"/>
    <w:rsid w:val="00C149C6"/>
    <w:rsid w:val="00C14AC0"/>
    <w:rsid w:val="00C16EB9"/>
    <w:rsid w:val="00C17037"/>
    <w:rsid w:val="00C177E6"/>
    <w:rsid w:val="00C2129C"/>
    <w:rsid w:val="00C21D27"/>
    <w:rsid w:val="00C22155"/>
    <w:rsid w:val="00C22230"/>
    <w:rsid w:val="00C22253"/>
    <w:rsid w:val="00C224A9"/>
    <w:rsid w:val="00C22612"/>
    <w:rsid w:val="00C231CF"/>
    <w:rsid w:val="00C234D9"/>
    <w:rsid w:val="00C23562"/>
    <w:rsid w:val="00C23FD5"/>
    <w:rsid w:val="00C24042"/>
    <w:rsid w:val="00C24230"/>
    <w:rsid w:val="00C272A3"/>
    <w:rsid w:val="00C27806"/>
    <w:rsid w:val="00C3079B"/>
    <w:rsid w:val="00C30D8F"/>
    <w:rsid w:val="00C31045"/>
    <w:rsid w:val="00C3194C"/>
    <w:rsid w:val="00C31AED"/>
    <w:rsid w:val="00C32510"/>
    <w:rsid w:val="00C3258D"/>
    <w:rsid w:val="00C32B01"/>
    <w:rsid w:val="00C32D92"/>
    <w:rsid w:val="00C33439"/>
    <w:rsid w:val="00C3368A"/>
    <w:rsid w:val="00C346F6"/>
    <w:rsid w:val="00C34ADA"/>
    <w:rsid w:val="00C358E2"/>
    <w:rsid w:val="00C364A5"/>
    <w:rsid w:val="00C36604"/>
    <w:rsid w:val="00C36A36"/>
    <w:rsid w:val="00C377D1"/>
    <w:rsid w:val="00C37F1E"/>
    <w:rsid w:val="00C37F2C"/>
    <w:rsid w:val="00C40821"/>
    <w:rsid w:val="00C40A49"/>
    <w:rsid w:val="00C43B47"/>
    <w:rsid w:val="00C4449B"/>
    <w:rsid w:val="00C4459F"/>
    <w:rsid w:val="00C45539"/>
    <w:rsid w:val="00C46E6B"/>
    <w:rsid w:val="00C470B5"/>
    <w:rsid w:val="00C47271"/>
    <w:rsid w:val="00C47654"/>
    <w:rsid w:val="00C50D13"/>
    <w:rsid w:val="00C51554"/>
    <w:rsid w:val="00C51B85"/>
    <w:rsid w:val="00C51C48"/>
    <w:rsid w:val="00C51F0C"/>
    <w:rsid w:val="00C527BE"/>
    <w:rsid w:val="00C53487"/>
    <w:rsid w:val="00C542FE"/>
    <w:rsid w:val="00C5476D"/>
    <w:rsid w:val="00C55022"/>
    <w:rsid w:val="00C550BF"/>
    <w:rsid w:val="00C55B16"/>
    <w:rsid w:val="00C562F4"/>
    <w:rsid w:val="00C571B0"/>
    <w:rsid w:val="00C5753F"/>
    <w:rsid w:val="00C6005F"/>
    <w:rsid w:val="00C6060D"/>
    <w:rsid w:val="00C60B97"/>
    <w:rsid w:val="00C61482"/>
    <w:rsid w:val="00C61F22"/>
    <w:rsid w:val="00C62018"/>
    <w:rsid w:val="00C62A5F"/>
    <w:rsid w:val="00C63062"/>
    <w:rsid w:val="00C63D8E"/>
    <w:rsid w:val="00C6548A"/>
    <w:rsid w:val="00C65C11"/>
    <w:rsid w:val="00C6642B"/>
    <w:rsid w:val="00C666DF"/>
    <w:rsid w:val="00C70C2F"/>
    <w:rsid w:val="00C70FF1"/>
    <w:rsid w:val="00C723B2"/>
    <w:rsid w:val="00C724CF"/>
    <w:rsid w:val="00C72C43"/>
    <w:rsid w:val="00C7335F"/>
    <w:rsid w:val="00C73DED"/>
    <w:rsid w:val="00C74924"/>
    <w:rsid w:val="00C74AFC"/>
    <w:rsid w:val="00C74CE4"/>
    <w:rsid w:val="00C7550D"/>
    <w:rsid w:val="00C7557C"/>
    <w:rsid w:val="00C7595C"/>
    <w:rsid w:val="00C75FFD"/>
    <w:rsid w:val="00C76B67"/>
    <w:rsid w:val="00C76EF1"/>
    <w:rsid w:val="00C770A7"/>
    <w:rsid w:val="00C77249"/>
    <w:rsid w:val="00C777B2"/>
    <w:rsid w:val="00C80DCF"/>
    <w:rsid w:val="00C813A0"/>
    <w:rsid w:val="00C82CDC"/>
    <w:rsid w:val="00C83115"/>
    <w:rsid w:val="00C84786"/>
    <w:rsid w:val="00C84A12"/>
    <w:rsid w:val="00C84C25"/>
    <w:rsid w:val="00C85520"/>
    <w:rsid w:val="00C8643D"/>
    <w:rsid w:val="00C8752A"/>
    <w:rsid w:val="00C87D5D"/>
    <w:rsid w:val="00C90491"/>
    <w:rsid w:val="00C9097B"/>
    <w:rsid w:val="00C90AD5"/>
    <w:rsid w:val="00C9139C"/>
    <w:rsid w:val="00C9163D"/>
    <w:rsid w:val="00C91DE2"/>
    <w:rsid w:val="00C933A5"/>
    <w:rsid w:val="00C94051"/>
    <w:rsid w:val="00C941A0"/>
    <w:rsid w:val="00C94747"/>
    <w:rsid w:val="00C9545B"/>
    <w:rsid w:val="00C95EDC"/>
    <w:rsid w:val="00C96579"/>
    <w:rsid w:val="00C9797A"/>
    <w:rsid w:val="00C97EAE"/>
    <w:rsid w:val="00CA0620"/>
    <w:rsid w:val="00CA080C"/>
    <w:rsid w:val="00CA2959"/>
    <w:rsid w:val="00CA2FDB"/>
    <w:rsid w:val="00CA3E67"/>
    <w:rsid w:val="00CA4524"/>
    <w:rsid w:val="00CA5049"/>
    <w:rsid w:val="00CA676F"/>
    <w:rsid w:val="00CA69D9"/>
    <w:rsid w:val="00CA6E47"/>
    <w:rsid w:val="00CA75D1"/>
    <w:rsid w:val="00CB0585"/>
    <w:rsid w:val="00CB0A36"/>
    <w:rsid w:val="00CB11A8"/>
    <w:rsid w:val="00CB228C"/>
    <w:rsid w:val="00CB23A4"/>
    <w:rsid w:val="00CB2B7D"/>
    <w:rsid w:val="00CB379A"/>
    <w:rsid w:val="00CB3D00"/>
    <w:rsid w:val="00CB4215"/>
    <w:rsid w:val="00CB4F99"/>
    <w:rsid w:val="00CB5411"/>
    <w:rsid w:val="00CB58B4"/>
    <w:rsid w:val="00CB5F85"/>
    <w:rsid w:val="00CB6970"/>
    <w:rsid w:val="00CB7E25"/>
    <w:rsid w:val="00CB7E90"/>
    <w:rsid w:val="00CC0726"/>
    <w:rsid w:val="00CC0CD4"/>
    <w:rsid w:val="00CC2943"/>
    <w:rsid w:val="00CC29B0"/>
    <w:rsid w:val="00CC3C83"/>
    <w:rsid w:val="00CC487D"/>
    <w:rsid w:val="00CC4E80"/>
    <w:rsid w:val="00CC53F5"/>
    <w:rsid w:val="00CC6CA6"/>
    <w:rsid w:val="00CC70DF"/>
    <w:rsid w:val="00CD0B32"/>
    <w:rsid w:val="00CD10F9"/>
    <w:rsid w:val="00CD1973"/>
    <w:rsid w:val="00CD245A"/>
    <w:rsid w:val="00CD2733"/>
    <w:rsid w:val="00CD285E"/>
    <w:rsid w:val="00CD3316"/>
    <w:rsid w:val="00CD33A8"/>
    <w:rsid w:val="00CD363A"/>
    <w:rsid w:val="00CD36D0"/>
    <w:rsid w:val="00CD3A01"/>
    <w:rsid w:val="00CD3A56"/>
    <w:rsid w:val="00CD3DC1"/>
    <w:rsid w:val="00CD4E7C"/>
    <w:rsid w:val="00CD5955"/>
    <w:rsid w:val="00CD5AB6"/>
    <w:rsid w:val="00CD6225"/>
    <w:rsid w:val="00CD6CD2"/>
    <w:rsid w:val="00CE0025"/>
    <w:rsid w:val="00CE0A16"/>
    <w:rsid w:val="00CE232E"/>
    <w:rsid w:val="00CE4308"/>
    <w:rsid w:val="00CE48B2"/>
    <w:rsid w:val="00CE534B"/>
    <w:rsid w:val="00CE5735"/>
    <w:rsid w:val="00CE609D"/>
    <w:rsid w:val="00CE629A"/>
    <w:rsid w:val="00CE64F3"/>
    <w:rsid w:val="00CE692D"/>
    <w:rsid w:val="00CE6D1E"/>
    <w:rsid w:val="00CE7E45"/>
    <w:rsid w:val="00CF0017"/>
    <w:rsid w:val="00CF0277"/>
    <w:rsid w:val="00CF1A53"/>
    <w:rsid w:val="00CF1C8E"/>
    <w:rsid w:val="00CF2097"/>
    <w:rsid w:val="00CF23B6"/>
    <w:rsid w:val="00CF33A1"/>
    <w:rsid w:val="00CF3E34"/>
    <w:rsid w:val="00CF4378"/>
    <w:rsid w:val="00CF5301"/>
    <w:rsid w:val="00CF57A9"/>
    <w:rsid w:val="00CF6213"/>
    <w:rsid w:val="00D010C4"/>
    <w:rsid w:val="00D01433"/>
    <w:rsid w:val="00D01668"/>
    <w:rsid w:val="00D03864"/>
    <w:rsid w:val="00D0458E"/>
    <w:rsid w:val="00D04B59"/>
    <w:rsid w:val="00D06380"/>
    <w:rsid w:val="00D0644B"/>
    <w:rsid w:val="00D06A77"/>
    <w:rsid w:val="00D07B37"/>
    <w:rsid w:val="00D10F24"/>
    <w:rsid w:val="00D112B4"/>
    <w:rsid w:val="00D11FE5"/>
    <w:rsid w:val="00D12E09"/>
    <w:rsid w:val="00D135BD"/>
    <w:rsid w:val="00D13813"/>
    <w:rsid w:val="00D138A9"/>
    <w:rsid w:val="00D13FD4"/>
    <w:rsid w:val="00D14ED1"/>
    <w:rsid w:val="00D15260"/>
    <w:rsid w:val="00D157B2"/>
    <w:rsid w:val="00D15929"/>
    <w:rsid w:val="00D15AC0"/>
    <w:rsid w:val="00D2004A"/>
    <w:rsid w:val="00D208EF"/>
    <w:rsid w:val="00D20B49"/>
    <w:rsid w:val="00D22451"/>
    <w:rsid w:val="00D23071"/>
    <w:rsid w:val="00D2368F"/>
    <w:rsid w:val="00D23712"/>
    <w:rsid w:val="00D23FE2"/>
    <w:rsid w:val="00D242C7"/>
    <w:rsid w:val="00D243FE"/>
    <w:rsid w:val="00D253B4"/>
    <w:rsid w:val="00D26251"/>
    <w:rsid w:val="00D2692D"/>
    <w:rsid w:val="00D26E5F"/>
    <w:rsid w:val="00D275B7"/>
    <w:rsid w:val="00D27E1D"/>
    <w:rsid w:val="00D30588"/>
    <w:rsid w:val="00D30A6B"/>
    <w:rsid w:val="00D327FB"/>
    <w:rsid w:val="00D32EC7"/>
    <w:rsid w:val="00D33433"/>
    <w:rsid w:val="00D34065"/>
    <w:rsid w:val="00D34097"/>
    <w:rsid w:val="00D34192"/>
    <w:rsid w:val="00D3480B"/>
    <w:rsid w:val="00D34BE4"/>
    <w:rsid w:val="00D36E50"/>
    <w:rsid w:val="00D373DC"/>
    <w:rsid w:val="00D377F0"/>
    <w:rsid w:val="00D4030F"/>
    <w:rsid w:val="00D4115B"/>
    <w:rsid w:val="00D4169E"/>
    <w:rsid w:val="00D41AC3"/>
    <w:rsid w:val="00D41CE0"/>
    <w:rsid w:val="00D4273A"/>
    <w:rsid w:val="00D43034"/>
    <w:rsid w:val="00D43474"/>
    <w:rsid w:val="00D44718"/>
    <w:rsid w:val="00D44806"/>
    <w:rsid w:val="00D44970"/>
    <w:rsid w:val="00D44E10"/>
    <w:rsid w:val="00D44E54"/>
    <w:rsid w:val="00D45B5E"/>
    <w:rsid w:val="00D46CD6"/>
    <w:rsid w:val="00D471C0"/>
    <w:rsid w:val="00D47490"/>
    <w:rsid w:val="00D47535"/>
    <w:rsid w:val="00D47BA1"/>
    <w:rsid w:val="00D47D41"/>
    <w:rsid w:val="00D5098F"/>
    <w:rsid w:val="00D50A5D"/>
    <w:rsid w:val="00D50A68"/>
    <w:rsid w:val="00D516C7"/>
    <w:rsid w:val="00D521B1"/>
    <w:rsid w:val="00D5276E"/>
    <w:rsid w:val="00D5484E"/>
    <w:rsid w:val="00D54E32"/>
    <w:rsid w:val="00D550CB"/>
    <w:rsid w:val="00D5527B"/>
    <w:rsid w:val="00D559F6"/>
    <w:rsid w:val="00D55C9C"/>
    <w:rsid w:val="00D55F28"/>
    <w:rsid w:val="00D56FB3"/>
    <w:rsid w:val="00D57479"/>
    <w:rsid w:val="00D57F47"/>
    <w:rsid w:val="00D60230"/>
    <w:rsid w:val="00D602BE"/>
    <w:rsid w:val="00D607C1"/>
    <w:rsid w:val="00D60FFA"/>
    <w:rsid w:val="00D613E7"/>
    <w:rsid w:val="00D61B74"/>
    <w:rsid w:val="00D61DA8"/>
    <w:rsid w:val="00D626C0"/>
    <w:rsid w:val="00D638DA"/>
    <w:rsid w:val="00D64359"/>
    <w:rsid w:val="00D65421"/>
    <w:rsid w:val="00D65975"/>
    <w:rsid w:val="00D66589"/>
    <w:rsid w:val="00D66A53"/>
    <w:rsid w:val="00D66D19"/>
    <w:rsid w:val="00D7050F"/>
    <w:rsid w:val="00D7142D"/>
    <w:rsid w:val="00D72C0C"/>
    <w:rsid w:val="00D74838"/>
    <w:rsid w:val="00D76922"/>
    <w:rsid w:val="00D76F13"/>
    <w:rsid w:val="00D77409"/>
    <w:rsid w:val="00D775F2"/>
    <w:rsid w:val="00D77FC5"/>
    <w:rsid w:val="00D80A45"/>
    <w:rsid w:val="00D82C22"/>
    <w:rsid w:val="00D82FEB"/>
    <w:rsid w:val="00D843A9"/>
    <w:rsid w:val="00D84600"/>
    <w:rsid w:val="00D84DF5"/>
    <w:rsid w:val="00D85CE1"/>
    <w:rsid w:val="00D85ED8"/>
    <w:rsid w:val="00D86B74"/>
    <w:rsid w:val="00D871E8"/>
    <w:rsid w:val="00D8787A"/>
    <w:rsid w:val="00D87D12"/>
    <w:rsid w:val="00D90658"/>
    <w:rsid w:val="00D90E22"/>
    <w:rsid w:val="00D9129A"/>
    <w:rsid w:val="00D9153A"/>
    <w:rsid w:val="00D92E45"/>
    <w:rsid w:val="00D93458"/>
    <w:rsid w:val="00D93481"/>
    <w:rsid w:val="00D93B29"/>
    <w:rsid w:val="00D944C8"/>
    <w:rsid w:val="00D947FE"/>
    <w:rsid w:val="00D94858"/>
    <w:rsid w:val="00D94D2C"/>
    <w:rsid w:val="00D94F47"/>
    <w:rsid w:val="00D96031"/>
    <w:rsid w:val="00D9606C"/>
    <w:rsid w:val="00D97401"/>
    <w:rsid w:val="00DA04C3"/>
    <w:rsid w:val="00DA18DB"/>
    <w:rsid w:val="00DA1E5D"/>
    <w:rsid w:val="00DA2C10"/>
    <w:rsid w:val="00DA323B"/>
    <w:rsid w:val="00DA406E"/>
    <w:rsid w:val="00DA4373"/>
    <w:rsid w:val="00DA49BB"/>
    <w:rsid w:val="00DA6236"/>
    <w:rsid w:val="00DA7697"/>
    <w:rsid w:val="00DA772A"/>
    <w:rsid w:val="00DA7DDE"/>
    <w:rsid w:val="00DB0273"/>
    <w:rsid w:val="00DB0EAD"/>
    <w:rsid w:val="00DB16CB"/>
    <w:rsid w:val="00DB185A"/>
    <w:rsid w:val="00DB1F2D"/>
    <w:rsid w:val="00DB29EA"/>
    <w:rsid w:val="00DB2A5D"/>
    <w:rsid w:val="00DB2E5A"/>
    <w:rsid w:val="00DB2FB8"/>
    <w:rsid w:val="00DB3978"/>
    <w:rsid w:val="00DB3C2E"/>
    <w:rsid w:val="00DB4735"/>
    <w:rsid w:val="00DB4B24"/>
    <w:rsid w:val="00DB4F14"/>
    <w:rsid w:val="00DB5A87"/>
    <w:rsid w:val="00DB5AE2"/>
    <w:rsid w:val="00DB60B8"/>
    <w:rsid w:val="00DC0819"/>
    <w:rsid w:val="00DC1234"/>
    <w:rsid w:val="00DC29E0"/>
    <w:rsid w:val="00DC38F7"/>
    <w:rsid w:val="00DC3CA6"/>
    <w:rsid w:val="00DC4893"/>
    <w:rsid w:val="00DC5983"/>
    <w:rsid w:val="00DC65A6"/>
    <w:rsid w:val="00DC7357"/>
    <w:rsid w:val="00DC765D"/>
    <w:rsid w:val="00DD113E"/>
    <w:rsid w:val="00DD1566"/>
    <w:rsid w:val="00DD21CB"/>
    <w:rsid w:val="00DD2C47"/>
    <w:rsid w:val="00DD30D5"/>
    <w:rsid w:val="00DD3148"/>
    <w:rsid w:val="00DD4093"/>
    <w:rsid w:val="00DD4FF1"/>
    <w:rsid w:val="00DD5BD4"/>
    <w:rsid w:val="00DD5E54"/>
    <w:rsid w:val="00DD6661"/>
    <w:rsid w:val="00DD6B1B"/>
    <w:rsid w:val="00DD7F1B"/>
    <w:rsid w:val="00DE038C"/>
    <w:rsid w:val="00DE11EC"/>
    <w:rsid w:val="00DE1752"/>
    <w:rsid w:val="00DE190E"/>
    <w:rsid w:val="00DE2C86"/>
    <w:rsid w:val="00DE2F8C"/>
    <w:rsid w:val="00DE39A3"/>
    <w:rsid w:val="00DE404F"/>
    <w:rsid w:val="00DE4FE8"/>
    <w:rsid w:val="00DE5C32"/>
    <w:rsid w:val="00DE5FD1"/>
    <w:rsid w:val="00DE635E"/>
    <w:rsid w:val="00DE660B"/>
    <w:rsid w:val="00DE71DE"/>
    <w:rsid w:val="00DF056C"/>
    <w:rsid w:val="00DF0DB5"/>
    <w:rsid w:val="00DF1B4B"/>
    <w:rsid w:val="00DF1F04"/>
    <w:rsid w:val="00DF1F50"/>
    <w:rsid w:val="00DF24F7"/>
    <w:rsid w:val="00DF3C27"/>
    <w:rsid w:val="00DF47BA"/>
    <w:rsid w:val="00DF4F17"/>
    <w:rsid w:val="00DF4F79"/>
    <w:rsid w:val="00DF535C"/>
    <w:rsid w:val="00DF619F"/>
    <w:rsid w:val="00DF6CB6"/>
    <w:rsid w:val="00DF712B"/>
    <w:rsid w:val="00E0114F"/>
    <w:rsid w:val="00E017EF"/>
    <w:rsid w:val="00E02D2C"/>
    <w:rsid w:val="00E02E6F"/>
    <w:rsid w:val="00E03801"/>
    <w:rsid w:val="00E03B4A"/>
    <w:rsid w:val="00E04B9D"/>
    <w:rsid w:val="00E05139"/>
    <w:rsid w:val="00E051AF"/>
    <w:rsid w:val="00E05A3F"/>
    <w:rsid w:val="00E05D7C"/>
    <w:rsid w:val="00E07512"/>
    <w:rsid w:val="00E07F93"/>
    <w:rsid w:val="00E11D72"/>
    <w:rsid w:val="00E13093"/>
    <w:rsid w:val="00E13736"/>
    <w:rsid w:val="00E13B5B"/>
    <w:rsid w:val="00E144B4"/>
    <w:rsid w:val="00E144DB"/>
    <w:rsid w:val="00E14693"/>
    <w:rsid w:val="00E14CA4"/>
    <w:rsid w:val="00E14D4A"/>
    <w:rsid w:val="00E14FC6"/>
    <w:rsid w:val="00E154DC"/>
    <w:rsid w:val="00E15571"/>
    <w:rsid w:val="00E15D77"/>
    <w:rsid w:val="00E16094"/>
    <w:rsid w:val="00E160D5"/>
    <w:rsid w:val="00E16148"/>
    <w:rsid w:val="00E166EA"/>
    <w:rsid w:val="00E167B2"/>
    <w:rsid w:val="00E17E8A"/>
    <w:rsid w:val="00E203F1"/>
    <w:rsid w:val="00E21A9E"/>
    <w:rsid w:val="00E21F6C"/>
    <w:rsid w:val="00E22A36"/>
    <w:rsid w:val="00E231C0"/>
    <w:rsid w:val="00E247B3"/>
    <w:rsid w:val="00E26274"/>
    <w:rsid w:val="00E266A6"/>
    <w:rsid w:val="00E27036"/>
    <w:rsid w:val="00E302E8"/>
    <w:rsid w:val="00E3041C"/>
    <w:rsid w:val="00E30F9E"/>
    <w:rsid w:val="00E31395"/>
    <w:rsid w:val="00E31B76"/>
    <w:rsid w:val="00E31C40"/>
    <w:rsid w:val="00E328F2"/>
    <w:rsid w:val="00E331C9"/>
    <w:rsid w:val="00E3359F"/>
    <w:rsid w:val="00E335A0"/>
    <w:rsid w:val="00E337A2"/>
    <w:rsid w:val="00E34876"/>
    <w:rsid w:val="00E35059"/>
    <w:rsid w:val="00E35788"/>
    <w:rsid w:val="00E359C1"/>
    <w:rsid w:val="00E35DCC"/>
    <w:rsid w:val="00E36A0D"/>
    <w:rsid w:val="00E37260"/>
    <w:rsid w:val="00E374F1"/>
    <w:rsid w:val="00E3799F"/>
    <w:rsid w:val="00E406F5"/>
    <w:rsid w:val="00E40B4C"/>
    <w:rsid w:val="00E42EFF"/>
    <w:rsid w:val="00E4330E"/>
    <w:rsid w:val="00E44CC5"/>
    <w:rsid w:val="00E44FC9"/>
    <w:rsid w:val="00E47DED"/>
    <w:rsid w:val="00E47F91"/>
    <w:rsid w:val="00E50336"/>
    <w:rsid w:val="00E51126"/>
    <w:rsid w:val="00E528CA"/>
    <w:rsid w:val="00E52A35"/>
    <w:rsid w:val="00E5465A"/>
    <w:rsid w:val="00E57290"/>
    <w:rsid w:val="00E60892"/>
    <w:rsid w:val="00E61F34"/>
    <w:rsid w:val="00E61FE5"/>
    <w:rsid w:val="00E622E5"/>
    <w:rsid w:val="00E63A67"/>
    <w:rsid w:val="00E64B06"/>
    <w:rsid w:val="00E652F5"/>
    <w:rsid w:val="00E6553F"/>
    <w:rsid w:val="00E65715"/>
    <w:rsid w:val="00E66094"/>
    <w:rsid w:val="00E66366"/>
    <w:rsid w:val="00E663A6"/>
    <w:rsid w:val="00E66C04"/>
    <w:rsid w:val="00E67350"/>
    <w:rsid w:val="00E675E7"/>
    <w:rsid w:val="00E67D67"/>
    <w:rsid w:val="00E70393"/>
    <w:rsid w:val="00E704B7"/>
    <w:rsid w:val="00E70F19"/>
    <w:rsid w:val="00E71DAC"/>
    <w:rsid w:val="00E7203B"/>
    <w:rsid w:val="00E7225F"/>
    <w:rsid w:val="00E726A6"/>
    <w:rsid w:val="00E72EE2"/>
    <w:rsid w:val="00E741DC"/>
    <w:rsid w:val="00E7432C"/>
    <w:rsid w:val="00E74DAA"/>
    <w:rsid w:val="00E75575"/>
    <w:rsid w:val="00E76C24"/>
    <w:rsid w:val="00E77059"/>
    <w:rsid w:val="00E77337"/>
    <w:rsid w:val="00E8007D"/>
    <w:rsid w:val="00E8105C"/>
    <w:rsid w:val="00E81822"/>
    <w:rsid w:val="00E81F51"/>
    <w:rsid w:val="00E82BD8"/>
    <w:rsid w:val="00E8357A"/>
    <w:rsid w:val="00E83670"/>
    <w:rsid w:val="00E83B2E"/>
    <w:rsid w:val="00E842AF"/>
    <w:rsid w:val="00E84897"/>
    <w:rsid w:val="00E84942"/>
    <w:rsid w:val="00E84B17"/>
    <w:rsid w:val="00E84C7B"/>
    <w:rsid w:val="00E84CC3"/>
    <w:rsid w:val="00E85598"/>
    <w:rsid w:val="00E855CD"/>
    <w:rsid w:val="00E85610"/>
    <w:rsid w:val="00E856D2"/>
    <w:rsid w:val="00E86765"/>
    <w:rsid w:val="00E86B29"/>
    <w:rsid w:val="00E90D46"/>
    <w:rsid w:val="00E91B55"/>
    <w:rsid w:val="00E91CD3"/>
    <w:rsid w:val="00E92FAD"/>
    <w:rsid w:val="00E93073"/>
    <w:rsid w:val="00E9390A"/>
    <w:rsid w:val="00E939C4"/>
    <w:rsid w:val="00E93B39"/>
    <w:rsid w:val="00E94FA1"/>
    <w:rsid w:val="00E9551D"/>
    <w:rsid w:val="00E967AB"/>
    <w:rsid w:val="00E96F59"/>
    <w:rsid w:val="00E972FC"/>
    <w:rsid w:val="00E9751F"/>
    <w:rsid w:val="00EA11B9"/>
    <w:rsid w:val="00EA1C9B"/>
    <w:rsid w:val="00EA1DE5"/>
    <w:rsid w:val="00EA2F69"/>
    <w:rsid w:val="00EA4F72"/>
    <w:rsid w:val="00EA5CA9"/>
    <w:rsid w:val="00EA5F83"/>
    <w:rsid w:val="00EA6016"/>
    <w:rsid w:val="00EA7C27"/>
    <w:rsid w:val="00EB10E2"/>
    <w:rsid w:val="00EB1502"/>
    <w:rsid w:val="00EB237C"/>
    <w:rsid w:val="00EB28C9"/>
    <w:rsid w:val="00EB4C65"/>
    <w:rsid w:val="00EB5524"/>
    <w:rsid w:val="00EB5893"/>
    <w:rsid w:val="00EB5B45"/>
    <w:rsid w:val="00EB6437"/>
    <w:rsid w:val="00EB69F6"/>
    <w:rsid w:val="00EB6F26"/>
    <w:rsid w:val="00EB7459"/>
    <w:rsid w:val="00EC0514"/>
    <w:rsid w:val="00EC0D79"/>
    <w:rsid w:val="00EC16F1"/>
    <w:rsid w:val="00EC1DC4"/>
    <w:rsid w:val="00EC2226"/>
    <w:rsid w:val="00EC35A3"/>
    <w:rsid w:val="00EC403F"/>
    <w:rsid w:val="00EC4AE2"/>
    <w:rsid w:val="00EC548D"/>
    <w:rsid w:val="00EC61B1"/>
    <w:rsid w:val="00EC775A"/>
    <w:rsid w:val="00EC77A4"/>
    <w:rsid w:val="00ED0043"/>
    <w:rsid w:val="00ED00BB"/>
    <w:rsid w:val="00ED106B"/>
    <w:rsid w:val="00ED10B8"/>
    <w:rsid w:val="00ED3E32"/>
    <w:rsid w:val="00ED477C"/>
    <w:rsid w:val="00ED4A6E"/>
    <w:rsid w:val="00ED51AF"/>
    <w:rsid w:val="00ED5896"/>
    <w:rsid w:val="00ED5B52"/>
    <w:rsid w:val="00EE07C2"/>
    <w:rsid w:val="00EE0C9C"/>
    <w:rsid w:val="00EE0DF8"/>
    <w:rsid w:val="00EE2DAC"/>
    <w:rsid w:val="00EE478B"/>
    <w:rsid w:val="00EE5211"/>
    <w:rsid w:val="00EE5621"/>
    <w:rsid w:val="00EE675A"/>
    <w:rsid w:val="00EE7206"/>
    <w:rsid w:val="00EE7907"/>
    <w:rsid w:val="00EF01B7"/>
    <w:rsid w:val="00EF06DF"/>
    <w:rsid w:val="00EF1610"/>
    <w:rsid w:val="00EF17F6"/>
    <w:rsid w:val="00EF3FFF"/>
    <w:rsid w:val="00EF4976"/>
    <w:rsid w:val="00EF4FAD"/>
    <w:rsid w:val="00EF524B"/>
    <w:rsid w:val="00EF6459"/>
    <w:rsid w:val="00EF6989"/>
    <w:rsid w:val="00EF6AF5"/>
    <w:rsid w:val="00EF7468"/>
    <w:rsid w:val="00F00C43"/>
    <w:rsid w:val="00F00D41"/>
    <w:rsid w:val="00F00FB2"/>
    <w:rsid w:val="00F0219F"/>
    <w:rsid w:val="00F02659"/>
    <w:rsid w:val="00F0276A"/>
    <w:rsid w:val="00F02C7D"/>
    <w:rsid w:val="00F02CD0"/>
    <w:rsid w:val="00F036D9"/>
    <w:rsid w:val="00F03CAC"/>
    <w:rsid w:val="00F03EE5"/>
    <w:rsid w:val="00F049C5"/>
    <w:rsid w:val="00F04DE8"/>
    <w:rsid w:val="00F04F24"/>
    <w:rsid w:val="00F052C1"/>
    <w:rsid w:val="00F06556"/>
    <w:rsid w:val="00F07A33"/>
    <w:rsid w:val="00F07B1C"/>
    <w:rsid w:val="00F10467"/>
    <w:rsid w:val="00F1192A"/>
    <w:rsid w:val="00F12346"/>
    <w:rsid w:val="00F13936"/>
    <w:rsid w:val="00F146A7"/>
    <w:rsid w:val="00F1654D"/>
    <w:rsid w:val="00F1660B"/>
    <w:rsid w:val="00F16BB6"/>
    <w:rsid w:val="00F1751E"/>
    <w:rsid w:val="00F2035F"/>
    <w:rsid w:val="00F21821"/>
    <w:rsid w:val="00F21D05"/>
    <w:rsid w:val="00F225A0"/>
    <w:rsid w:val="00F22674"/>
    <w:rsid w:val="00F22D03"/>
    <w:rsid w:val="00F230BE"/>
    <w:rsid w:val="00F23805"/>
    <w:rsid w:val="00F2423F"/>
    <w:rsid w:val="00F24AFC"/>
    <w:rsid w:val="00F25533"/>
    <w:rsid w:val="00F257B6"/>
    <w:rsid w:val="00F27419"/>
    <w:rsid w:val="00F275B1"/>
    <w:rsid w:val="00F27622"/>
    <w:rsid w:val="00F3081A"/>
    <w:rsid w:val="00F310C5"/>
    <w:rsid w:val="00F31BD7"/>
    <w:rsid w:val="00F326FE"/>
    <w:rsid w:val="00F32A49"/>
    <w:rsid w:val="00F33516"/>
    <w:rsid w:val="00F347C5"/>
    <w:rsid w:val="00F34AC3"/>
    <w:rsid w:val="00F34B88"/>
    <w:rsid w:val="00F34CCC"/>
    <w:rsid w:val="00F35DE8"/>
    <w:rsid w:val="00F370C6"/>
    <w:rsid w:val="00F40761"/>
    <w:rsid w:val="00F40B5C"/>
    <w:rsid w:val="00F42A78"/>
    <w:rsid w:val="00F437F3"/>
    <w:rsid w:val="00F445F6"/>
    <w:rsid w:val="00F446FD"/>
    <w:rsid w:val="00F44A37"/>
    <w:rsid w:val="00F44C1C"/>
    <w:rsid w:val="00F44DC6"/>
    <w:rsid w:val="00F4554F"/>
    <w:rsid w:val="00F458AE"/>
    <w:rsid w:val="00F45D1B"/>
    <w:rsid w:val="00F46A87"/>
    <w:rsid w:val="00F47C44"/>
    <w:rsid w:val="00F50026"/>
    <w:rsid w:val="00F5074D"/>
    <w:rsid w:val="00F50CDC"/>
    <w:rsid w:val="00F50F1D"/>
    <w:rsid w:val="00F51495"/>
    <w:rsid w:val="00F524E9"/>
    <w:rsid w:val="00F53544"/>
    <w:rsid w:val="00F54028"/>
    <w:rsid w:val="00F564F1"/>
    <w:rsid w:val="00F601E1"/>
    <w:rsid w:val="00F60452"/>
    <w:rsid w:val="00F60C90"/>
    <w:rsid w:val="00F61154"/>
    <w:rsid w:val="00F61345"/>
    <w:rsid w:val="00F62943"/>
    <w:rsid w:val="00F62F4A"/>
    <w:rsid w:val="00F640A2"/>
    <w:rsid w:val="00F64C32"/>
    <w:rsid w:val="00F669C7"/>
    <w:rsid w:val="00F678B4"/>
    <w:rsid w:val="00F7047A"/>
    <w:rsid w:val="00F70B59"/>
    <w:rsid w:val="00F70EAF"/>
    <w:rsid w:val="00F710E1"/>
    <w:rsid w:val="00F717B2"/>
    <w:rsid w:val="00F72204"/>
    <w:rsid w:val="00F7240A"/>
    <w:rsid w:val="00F73334"/>
    <w:rsid w:val="00F73575"/>
    <w:rsid w:val="00F74055"/>
    <w:rsid w:val="00F75152"/>
    <w:rsid w:val="00F75A97"/>
    <w:rsid w:val="00F75D60"/>
    <w:rsid w:val="00F762CB"/>
    <w:rsid w:val="00F76DB4"/>
    <w:rsid w:val="00F775F4"/>
    <w:rsid w:val="00F77897"/>
    <w:rsid w:val="00F77AB2"/>
    <w:rsid w:val="00F80CD1"/>
    <w:rsid w:val="00F80F04"/>
    <w:rsid w:val="00F821BF"/>
    <w:rsid w:val="00F822A8"/>
    <w:rsid w:val="00F8284A"/>
    <w:rsid w:val="00F82C16"/>
    <w:rsid w:val="00F8322C"/>
    <w:rsid w:val="00F842A8"/>
    <w:rsid w:val="00F84458"/>
    <w:rsid w:val="00F84843"/>
    <w:rsid w:val="00F84A53"/>
    <w:rsid w:val="00F84C64"/>
    <w:rsid w:val="00F85836"/>
    <w:rsid w:val="00F85F4B"/>
    <w:rsid w:val="00F86C45"/>
    <w:rsid w:val="00F87D78"/>
    <w:rsid w:val="00F90B8A"/>
    <w:rsid w:val="00F9110C"/>
    <w:rsid w:val="00F91264"/>
    <w:rsid w:val="00F931AA"/>
    <w:rsid w:val="00F9481F"/>
    <w:rsid w:val="00F94D06"/>
    <w:rsid w:val="00F95146"/>
    <w:rsid w:val="00F95941"/>
    <w:rsid w:val="00F9689B"/>
    <w:rsid w:val="00FA02B3"/>
    <w:rsid w:val="00FA03CF"/>
    <w:rsid w:val="00FA04F3"/>
    <w:rsid w:val="00FA1038"/>
    <w:rsid w:val="00FA1AE2"/>
    <w:rsid w:val="00FA242D"/>
    <w:rsid w:val="00FA273D"/>
    <w:rsid w:val="00FA2A2F"/>
    <w:rsid w:val="00FA323B"/>
    <w:rsid w:val="00FA3D50"/>
    <w:rsid w:val="00FA3EBA"/>
    <w:rsid w:val="00FA4287"/>
    <w:rsid w:val="00FA4FD9"/>
    <w:rsid w:val="00FA56CA"/>
    <w:rsid w:val="00FA586A"/>
    <w:rsid w:val="00FA5C81"/>
    <w:rsid w:val="00FA5DBE"/>
    <w:rsid w:val="00FB0652"/>
    <w:rsid w:val="00FB0CF2"/>
    <w:rsid w:val="00FB0F22"/>
    <w:rsid w:val="00FB1BB7"/>
    <w:rsid w:val="00FB20A9"/>
    <w:rsid w:val="00FB248E"/>
    <w:rsid w:val="00FB34DA"/>
    <w:rsid w:val="00FB3925"/>
    <w:rsid w:val="00FB5E2A"/>
    <w:rsid w:val="00FB6228"/>
    <w:rsid w:val="00FB6960"/>
    <w:rsid w:val="00FB6A99"/>
    <w:rsid w:val="00FB6FB3"/>
    <w:rsid w:val="00FB7327"/>
    <w:rsid w:val="00FB7A6D"/>
    <w:rsid w:val="00FB7CF5"/>
    <w:rsid w:val="00FC07BE"/>
    <w:rsid w:val="00FC097A"/>
    <w:rsid w:val="00FC1077"/>
    <w:rsid w:val="00FC1F0C"/>
    <w:rsid w:val="00FC24CA"/>
    <w:rsid w:val="00FC344A"/>
    <w:rsid w:val="00FC37C5"/>
    <w:rsid w:val="00FC3BA1"/>
    <w:rsid w:val="00FC4D91"/>
    <w:rsid w:val="00FC510A"/>
    <w:rsid w:val="00FC5969"/>
    <w:rsid w:val="00FC6562"/>
    <w:rsid w:val="00FC7419"/>
    <w:rsid w:val="00FD17A8"/>
    <w:rsid w:val="00FD1D43"/>
    <w:rsid w:val="00FD2557"/>
    <w:rsid w:val="00FD3BFC"/>
    <w:rsid w:val="00FD4B21"/>
    <w:rsid w:val="00FD598E"/>
    <w:rsid w:val="00FD5D9A"/>
    <w:rsid w:val="00FD5F2B"/>
    <w:rsid w:val="00FD5F38"/>
    <w:rsid w:val="00FD6576"/>
    <w:rsid w:val="00FD6A98"/>
    <w:rsid w:val="00FD6E73"/>
    <w:rsid w:val="00FD7909"/>
    <w:rsid w:val="00FD7EAB"/>
    <w:rsid w:val="00FE0386"/>
    <w:rsid w:val="00FE09BD"/>
    <w:rsid w:val="00FE12D6"/>
    <w:rsid w:val="00FE22C4"/>
    <w:rsid w:val="00FE3DAD"/>
    <w:rsid w:val="00FE42FD"/>
    <w:rsid w:val="00FE57BE"/>
    <w:rsid w:val="00FE62E5"/>
    <w:rsid w:val="00FE6F2B"/>
    <w:rsid w:val="00FF1428"/>
    <w:rsid w:val="00FF150F"/>
    <w:rsid w:val="00FF1A7E"/>
    <w:rsid w:val="00FF1AFC"/>
    <w:rsid w:val="00FF3ACB"/>
    <w:rsid w:val="00FF3D8A"/>
    <w:rsid w:val="00FF3DA2"/>
    <w:rsid w:val="00FF49AB"/>
    <w:rsid w:val="00FF4C08"/>
    <w:rsid w:val="00FF540D"/>
    <w:rsid w:val="00FF63E6"/>
    <w:rsid w:val="023F5FA2"/>
    <w:rsid w:val="16EF7A87"/>
    <w:rsid w:val="214225C0"/>
    <w:rsid w:val="22D00140"/>
    <w:rsid w:val="33431F2F"/>
    <w:rsid w:val="344A3B8A"/>
    <w:rsid w:val="36C437C7"/>
    <w:rsid w:val="399C1D3E"/>
    <w:rsid w:val="3C7A6BF3"/>
    <w:rsid w:val="438861D3"/>
    <w:rsid w:val="44C30A0B"/>
    <w:rsid w:val="4C4759BB"/>
    <w:rsid w:val="4F513076"/>
    <w:rsid w:val="60E677EB"/>
    <w:rsid w:val="6331299F"/>
    <w:rsid w:val="63817A85"/>
    <w:rsid w:val="63894762"/>
    <w:rsid w:val="70D838F4"/>
    <w:rsid w:val="78ED1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9"/>
    <w:pPr>
      <w:keepNext/>
      <w:keepLines/>
      <w:numPr>
        <w:ilvl w:val="0"/>
        <w:numId w:val="1"/>
      </w:numPr>
      <w:spacing w:line="360" w:lineRule="auto"/>
      <w:jc w:val="left"/>
      <w:outlineLvl w:val="0"/>
    </w:pPr>
    <w:rPr>
      <w:rFonts w:ascii="宋体" w:hAnsi="宋体" w:eastAsia="宋体"/>
      <w:b/>
      <w:bCs/>
      <w:kern w:val="44"/>
      <w:sz w:val="40"/>
      <w:szCs w:val="44"/>
    </w:rPr>
  </w:style>
  <w:style w:type="paragraph" w:styleId="3">
    <w:name w:val="heading 2"/>
    <w:basedOn w:val="1"/>
    <w:next w:val="1"/>
    <w:link w:val="60"/>
    <w:unhideWhenUsed/>
    <w:qFormat/>
    <w:uiPriority w:val="0"/>
    <w:pPr>
      <w:keepNext/>
      <w:keepLines/>
      <w:numPr>
        <w:ilvl w:val="1"/>
        <w:numId w:val="1"/>
      </w:numPr>
      <w:spacing w:line="360" w:lineRule="auto"/>
      <w:ind w:left="0" w:firstLine="0"/>
      <w:outlineLvl w:val="1"/>
    </w:pPr>
    <w:rPr>
      <w:rFonts w:ascii="宋体" w:hAnsi="宋体" w:eastAsia="宋体" w:cstheme="majorBidi"/>
      <w:b/>
      <w:bCs/>
      <w:sz w:val="32"/>
      <w:szCs w:val="36"/>
    </w:rPr>
  </w:style>
  <w:style w:type="paragraph" w:styleId="4">
    <w:name w:val="heading 3"/>
    <w:basedOn w:val="1"/>
    <w:next w:val="1"/>
    <w:link w:val="61"/>
    <w:unhideWhenUsed/>
    <w:qFormat/>
    <w:uiPriority w:val="0"/>
    <w:pPr>
      <w:keepNext/>
      <w:keepLines/>
      <w:numPr>
        <w:ilvl w:val="2"/>
        <w:numId w:val="1"/>
      </w:numPr>
      <w:spacing w:line="360" w:lineRule="auto"/>
      <w:outlineLvl w:val="2"/>
    </w:pPr>
    <w:rPr>
      <w:rFonts w:ascii="宋体" w:hAnsi="宋体" w:eastAsia="宋体"/>
      <w:b/>
      <w:bCs/>
      <w:sz w:val="28"/>
      <w:szCs w:val="32"/>
    </w:rPr>
  </w:style>
  <w:style w:type="paragraph" w:styleId="5">
    <w:name w:val="heading 4"/>
    <w:basedOn w:val="1"/>
    <w:next w:val="1"/>
    <w:link w:val="62"/>
    <w:unhideWhenUsed/>
    <w:qFormat/>
    <w:uiPriority w:val="0"/>
    <w:pPr>
      <w:keepNext/>
      <w:keepLines/>
      <w:numPr>
        <w:ilvl w:val="3"/>
        <w:numId w:val="1"/>
      </w:numPr>
      <w:spacing w:line="360" w:lineRule="auto"/>
      <w:outlineLvl w:val="3"/>
    </w:pPr>
    <w:rPr>
      <w:rFonts w:ascii="宋体" w:hAnsi="宋体" w:eastAsia="宋体" w:cstheme="majorBidi"/>
      <w:b/>
      <w:bCs/>
      <w:sz w:val="28"/>
      <w:szCs w:val="28"/>
    </w:rPr>
  </w:style>
  <w:style w:type="paragraph" w:styleId="6">
    <w:name w:val="heading 5"/>
    <w:basedOn w:val="1"/>
    <w:next w:val="1"/>
    <w:link w:val="63"/>
    <w:unhideWhenUsed/>
    <w:qFormat/>
    <w:uiPriority w:val="0"/>
    <w:pPr>
      <w:keepNext/>
      <w:keepLines/>
      <w:numPr>
        <w:ilvl w:val="4"/>
        <w:numId w:val="1"/>
      </w:numPr>
      <w:spacing w:line="360" w:lineRule="auto"/>
      <w:outlineLvl w:val="4"/>
    </w:pPr>
    <w:rPr>
      <w:rFonts w:ascii="宋体" w:hAnsi="宋体" w:eastAsia="宋体"/>
      <w:b/>
      <w:bCs/>
      <w:sz w:val="24"/>
      <w:szCs w:val="24"/>
    </w:rPr>
  </w:style>
  <w:style w:type="paragraph" w:styleId="7">
    <w:name w:val="heading 6"/>
    <w:basedOn w:val="1"/>
    <w:next w:val="1"/>
    <w:link w:val="64"/>
    <w:unhideWhenUsed/>
    <w:qFormat/>
    <w:uiPriority w:val="0"/>
    <w:pPr>
      <w:keepNext/>
      <w:keepLines/>
      <w:numPr>
        <w:ilvl w:val="5"/>
        <w:numId w:val="1"/>
      </w:numPr>
      <w:spacing w:line="360" w:lineRule="auto"/>
      <w:outlineLvl w:val="5"/>
    </w:pPr>
    <w:rPr>
      <w:rFonts w:ascii="宋体" w:hAnsi="宋体" w:eastAsia="宋体" w:cstheme="majorBidi"/>
      <w:b/>
      <w:bCs/>
      <w:sz w:val="24"/>
      <w:szCs w:val="24"/>
    </w:rPr>
  </w:style>
  <w:style w:type="paragraph" w:styleId="8">
    <w:name w:val="heading 7"/>
    <w:basedOn w:val="1"/>
    <w:next w:val="1"/>
    <w:link w:val="65"/>
    <w:unhideWhenUsed/>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66"/>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67"/>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ind w:left="1260"/>
      <w:jc w:val="left"/>
    </w:pPr>
    <w:rPr>
      <w:rFonts w:eastAsiaTheme="minorHAnsi"/>
      <w:sz w:val="18"/>
      <w:szCs w:val="18"/>
    </w:rPr>
  </w:style>
  <w:style w:type="paragraph" w:styleId="12">
    <w:name w:val="Normal Indent"/>
    <w:basedOn w:val="1"/>
    <w:qFormat/>
    <w:uiPriority w:val="0"/>
    <w:pPr>
      <w:autoSpaceDE w:val="0"/>
      <w:autoSpaceDN w:val="0"/>
      <w:adjustRightInd w:val="0"/>
      <w:spacing w:line="360" w:lineRule="auto"/>
      <w:ind w:firstLine="420"/>
      <w:jc w:val="left"/>
    </w:pPr>
    <w:rPr>
      <w:rFonts w:ascii="Times New Roman" w:hAnsi="Times New Roman" w:eastAsia="宋体" w:cs="Times New Roman"/>
      <w:sz w:val="24"/>
      <w:szCs w:val="20"/>
    </w:rPr>
  </w:style>
  <w:style w:type="paragraph" w:styleId="13">
    <w:name w:val="caption"/>
    <w:basedOn w:val="1"/>
    <w:next w:val="1"/>
    <w:unhideWhenUsed/>
    <w:qFormat/>
    <w:uiPriority w:val="35"/>
    <w:pPr>
      <w:spacing w:line="360" w:lineRule="auto"/>
    </w:pPr>
    <w:rPr>
      <w:rFonts w:eastAsia="黑体" w:asciiTheme="majorHAnsi" w:hAnsiTheme="majorHAnsi" w:cstheme="majorBidi"/>
      <w:sz w:val="20"/>
      <w:szCs w:val="20"/>
    </w:rPr>
  </w:style>
  <w:style w:type="paragraph" w:styleId="14">
    <w:name w:val="Document Map"/>
    <w:basedOn w:val="1"/>
    <w:link w:val="101"/>
    <w:semiHidden/>
    <w:unhideWhenUsed/>
    <w:qFormat/>
    <w:uiPriority w:val="0"/>
    <w:pPr>
      <w:spacing w:line="360" w:lineRule="auto"/>
    </w:pPr>
    <w:rPr>
      <w:rFonts w:ascii="宋体" w:hAnsi="Arial" w:eastAsia="宋体"/>
      <w:sz w:val="18"/>
      <w:szCs w:val="18"/>
    </w:rPr>
  </w:style>
  <w:style w:type="paragraph" w:styleId="15">
    <w:name w:val="annotation text"/>
    <w:basedOn w:val="1"/>
    <w:link w:val="83"/>
    <w:unhideWhenUsed/>
    <w:uiPriority w:val="99"/>
    <w:pPr>
      <w:jc w:val="left"/>
    </w:pPr>
  </w:style>
  <w:style w:type="paragraph" w:styleId="16">
    <w:name w:val="Body Text 3"/>
    <w:basedOn w:val="1"/>
    <w:link w:val="122"/>
    <w:qFormat/>
    <w:uiPriority w:val="0"/>
    <w:pPr>
      <w:autoSpaceDE w:val="0"/>
      <w:autoSpaceDN w:val="0"/>
      <w:adjustRightInd w:val="0"/>
      <w:spacing w:after="120" w:line="360" w:lineRule="auto"/>
      <w:jc w:val="left"/>
    </w:pPr>
    <w:rPr>
      <w:rFonts w:ascii="宋体" w:hAnsi="Times New Roman" w:eastAsia="宋体" w:cs="Times New Roman"/>
      <w:kern w:val="0"/>
      <w:sz w:val="16"/>
      <w:szCs w:val="16"/>
    </w:rPr>
  </w:style>
  <w:style w:type="paragraph" w:styleId="17">
    <w:name w:val="Body Text"/>
    <w:basedOn w:val="1"/>
    <w:link w:val="75"/>
    <w:qFormat/>
    <w:uiPriority w:val="0"/>
    <w:pPr>
      <w:spacing w:after="120"/>
    </w:pPr>
    <w:rPr>
      <w:rFonts w:ascii="Times New Roman" w:hAnsi="Times New Roman" w:eastAsia="宋体" w:cs="Times New Roman"/>
      <w:kern w:val="0"/>
      <w:sz w:val="24"/>
      <w:szCs w:val="24"/>
    </w:rPr>
  </w:style>
  <w:style w:type="paragraph" w:styleId="18">
    <w:name w:val="Body Text Indent"/>
    <w:basedOn w:val="1"/>
    <w:link w:val="114"/>
    <w:qFormat/>
    <w:uiPriority w:val="0"/>
    <w:pPr>
      <w:tabs>
        <w:tab w:val="left" w:pos="3960"/>
      </w:tabs>
      <w:spacing w:line="360" w:lineRule="auto"/>
      <w:ind w:left="840" w:hanging="840" w:hangingChars="400"/>
    </w:pPr>
    <w:rPr>
      <w:rFonts w:ascii="Times New Roman" w:hAnsi="Times New Roman" w:eastAsia="宋体" w:cs="Times New Roman"/>
      <w:sz w:val="24"/>
      <w:szCs w:val="24"/>
    </w:rPr>
  </w:style>
  <w:style w:type="paragraph" w:styleId="19">
    <w:name w:val="List Number 3"/>
    <w:basedOn w:val="1"/>
    <w:qFormat/>
    <w:uiPriority w:val="0"/>
    <w:pPr>
      <w:numPr>
        <w:ilvl w:val="0"/>
        <w:numId w:val="2"/>
      </w:numPr>
      <w:suppressAutoHyphens/>
      <w:autoSpaceDE w:val="0"/>
      <w:autoSpaceDN w:val="0"/>
      <w:adjustRightInd w:val="0"/>
      <w:spacing w:line="360" w:lineRule="auto"/>
      <w:jc w:val="left"/>
    </w:pPr>
    <w:rPr>
      <w:rFonts w:ascii="宋体" w:hAnsi="Times New Roman" w:eastAsia="宋体" w:cs="Times New Roman"/>
      <w:kern w:val="1"/>
      <w:sz w:val="24"/>
      <w:szCs w:val="24"/>
      <w:lang w:eastAsia="ar-SA"/>
    </w:rPr>
  </w:style>
  <w:style w:type="paragraph" w:styleId="20">
    <w:name w:val="toc 5"/>
    <w:basedOn w:val="1"/>
    <w:next w:val="1"/>
    <w:unhideWhenUsed/>
    <w:qFormat/>
    <w:uiPriority w:val="39"/>
    <w:pPr>
      <w:ind w:left="840"/>
      <w:jc w:val="left"/>
    </w:pPr>
    <w:rPr>
      <w:rFonts w:eastAsiaTheme="minorHAnsi"/>
      <w:sz w:val="18"/>
      <w:szCs w:val="18"/>
    </w:rPr>
  </w:style>
  <w:style w:type="paragraph" w:styleId="21">
    <w:name w:val="toc 3"/>
    <w:basedOn w:val="1"/>
    <w:next w:val="1"/>
    <w:unhideWhenUsed/>
    <w:qFormat/>
    <w:uiPriority w:val="39"/>
    <w:pPr>
      <w:ind w:left="420"/>
      <w:jc w:val="left"/>
    </w:pPr>
    <w:rPr>
      <w:rFonts w:eastAsiaTheme="minorHAnsi"/>
      <w:i/>
      <w:iCs/>
      <w:sz w:val="20"/>
      <w:szCs w:val="20"/>
    </w:rPr>
  </w:style>
  <w:style w:type="paragraph" w:styleId="22">
    <w:name w:val="Plain Text"/>
    <w:basedOn w:val="1"/>
    <w:link w:val="107"/>
    <w:qFormat/>
    <w:uiPriority w:val="0"/>
    <w:pPr>
      <w:spacing w:line="360" w:lineRule="auto"/>
    </w:pPr>
    <w:rPr>
      <w:rFonts w:hint="eastAsia" w:ascii="宋体" w:hAnsi="Courier New" w:eastAsia="宋体" w:cs="Times New Roman"/>
      <w:sz w:val="24"/>
      <w:szCs w:val="20"/>
    </w:rPr>
  </w:style>
  <w:style w:type="paragraph" w:styleId="23">
    <w:name w:val="toc 8"/>
    <w:basedOn w:val="1"/>
    <w:next w:val="1"/>
    <w:unhideWhenUsed/>
    <w:qFormat/>
    <w:uiPriority w:val="39"/>
    <w:pPr>
      <w:ind w:left="1470"/>
      <w:jc w:val="left"/>
    </w:pPr>
    <w:rPr>
      <w:rFonts w:eastAsiaTheme="minorHAnsi"/>
      <w:sz w:val="18"/>
      <w:szCs w:val="18"/>
    </w:rPr>
  </w:style>
  <w:style w:type="paragraph" w:styleId="24">
    <w:name w:val="Date"/>
    <w:basedOn w:val="1"/>
    <w:next w:val="1"/>
    <w:link w:val="126"/>
    <w:qFormat/>
    <w:uiPriority w:val="0"/>
    <w:pPr>
      <w:autoSpaceDE w:val="0"/>
      <w:autoSpaceDN w:val="0"/>
      <w:adjustRightInd w:val="0"/>
      <w:spacing w:line="360" w:lineRule="atLeast"/>
      <w:jc w:val="left"/>
      <w:textAlignment w:val="baseline"/>
    </w:pPr>
    <w:rPr>
      <w:rFonts w:ascii="宋体" w:hAnsi="Times New Roman" w:eastAsia="宋体" w:cs="Times New Roman"/>
      <w:kern w:val="0"/>
      <w:sz w:val="24"/>
      <w:szCs w:val="20"/>
    </w:rPr>
  </w:style>
  <w:style w:type="paragraph" w:styleId="25">
    <w:name w:val="Body Text Indent 2"/>
    <w:basedOn w:val="1"/>
    <w:link w:val="129"/>
    <w:qFormat/>
    <w:uiPriority w:val="0"/>
    <w:pPr>
      <w:autoSpaceDE w:val="0"/>
      <w:autoSpaceDN w:val="0"/>
      <w:adjustRightInd w:val="0"/>
      <w:spacing w:after="120" w:line="480" w:lineRule="auto"/>
      <w:ind w:left="420" w:leftChars="200"/>
      <w:jc w:val="left"/>
    </w:pPr>
    <w:rPr>
      <w:rFonts w:ascii="宋体" w:hAnsi="Times New Roman" w:eastAsia="宋体" w:cs="Times New Roman"/>
      <w:kern w:val="0"/>
      <w:sz w:val="24"/>
      <w:szCs w:val="24"/>
    </w:rPr>
  </w:style>
  <w:style w:type="paragraph" w:styleId="26">
    <w:name w:val="endnote text"/>
    <w:basedOn w:val="1"/>
    <w:link w:val="100"/>
    <w:semiHidden/>
    <w:unhideWhenUsed/>
    <w:qFormat/>
    <w:uiPriority w:val="99"/>
    <w:pPr>
      <w:snapToGrid w:val="0"/>
      <w:spacing w:line="360" w:lineRule="auto"/>
      <w:jc w:val="left"/>
    </w:pPr>
    <w:rPr>
      <w:rFonts w:ascii="Arial" w:hAnsi="Arial" w:eastAsia="宋体"/>
      <w:sz w:val="24"/>
    </w:rPr>
  </w:style>
  <w:style w:type="paragraph" w:styleId="27">
    <w:name w:val="Balloon Text"/>
    <w:basedOn w:val="1"/>
    <w:link w:val="82"/>
    <w:semiHidden/>
    <w:unhideWhenUsed/>
    <w:qFormat/>
    <w:uiPriority w:val="0"/>
    <w:rPr>
      <w:sz w:val="18"/>
      <w:szCs w:val="18"/>
    </w:rPr>
  </w:style>
  <w:style w:type="paragraph" w:styleId="28">
    <w:name w:val="footer"/>
    <w:basedOn w:val="1"/>
    <w:link w:val="58"/>
    <w:unhideWhenUsed/>
    <w:uiPriority w:val="99"/>
    <w:pPr>
      <w:tabs>
        <w:tab w:val="center" w:pos="4153"/>
        <w:tab w:val="right" w:pos="8306"/>
      </w:tabs>
      <w:snapToGrid w:val="0"/>
      <w:jc w:val="left"/>
    </w:pPr>
    <w:rPr>
      <w:sz w:val="18"/>
      <w:szCs w:val="18"/>
    </w:rPr>
  </w:style>
  <w:style w:type="paragraph" w:styleId="29">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spacing w:before="120" w:after="120"/>
      <w:jc w:val="left"/>
    </w:pPr>
    <w:rPr>
      <w:rFonts w:eastAsiaTheme="minorHAnsi"/>
      <w:b/>
      <w:bCs/>
      <w:caps/>
      <w:sz w:val="20"/>
      <w:szCs w:val="20"/>
    </w:rPr>
  </w:style>
  <w:style w:type="paragraph" w:styleId="31">
    <w:name w:val="toc 4"/>
    <w:basedOn w:val="1"/>
    <w:next w:val="1"/>
    <w:unhideWhenUsed/>
    <w:qFormat/>
    <w:uiPriority w:val="39"/>
    <w:pPr>
      <w:ind w:left="630"/>
      <w:jc w:val="left"/>
    </w:pPr>
    <w:rPr>
      <w:rFonts w:eastAsiaTheme="minorHAnsi"/>
      <w:sz w:val="18"/>
      <w:szCs w:val="18"/>
    </w:rPr>
  </w:style>
  <w:style w:type="paragraph" w:styleId="32">
    <w:name w:val="footnote text"/>
    <w:basedOn w:val="1"/>
    <w:link w:val="102"/>
    <w:semiHidden/>
    <w:unhideWhenUsed/>
    <w:qFormat/>
    <w:uiPriority w:val="99"/>
    <w:pPr>
      <w:snapToGrid w:val="0"/>
      <w:spacing w:line="360" w:lineRule="auto"/>
      <w:jc w:val="left"/>
    </w:pPr>
    <w:rPr>
      <w:rFonts w:ascii="Arial" w:hAnsi="Arial" w:eastAsia="宋体"/>
      <w:sz w:val="18"/>
      <w:szCs w:val="18"/>
    </w:rPr>
  </w:style>
  <w:style w:type="paragraph" w:styleId="33">
    <w:name w:val="toc 6"/>
    <w:basedOn w:val="1"/>
    <w:next w:val="1"/>
    <w:unhideWhenUsed/>
    <w:qFormat/>
    <w:uiPriority w:val="39"/>
    <w:pPr>
      <w:ind w:left="1050"/>
      <w:jc w:val="left"/>
    </w:pPr>
    <w:rPr>
      <w:rFonts w:eastAsiaTheme="minorHAnsi"/>
      <w:sz w:val="18"/>
      <w:szCs w:val="18"/>
    </w:rPr>
  </w:style>
  <w:style w:type="paragraph" w:styleId="34">
    <w:name w:val="Body Text Indent 3"/>
    <w:basedOn w:val="1"/>
    <w:link w:val="123"/>
    <w:qFormat/>
    <w:uiPriority w:val="0"/>
    <w:pPr>
      <w:autoSpaceDE w:val="0"/>
      <w:autoSpaceDN w:val="0"/>
      <w:adjustRightInd w:val="0"/>
      <w:spacing w:before="120" w:line="360" w:lineRule="auto"/>
      <w:ind w:firstLine="482"/>
      <w:jc w:val="left"/>
    </w:pPr>
    <w:rPr>
      <w:rFonts w:ascii="宋体" w:hAnsi="宋体" w:eastAsia="宋体" w:cs="Times New Roman"/>
      <w:kern w:val="0"/>
      <w:sz w:val="24"/>
      <w:szCs w:val="24"/>
    </w:rPr>
  </w:style>
  <w:style w:type="paragraph" w:styleId="35">
    <w:name w:val="table of figures"/>
    <w:basedOn w:val="1"/>
    <w:next w:val="1"/>
    <w:unhideWhenUsed/>
    <w:qFormat/>
    <w:uiPriority w:val="99"/>
    <w:pPr>
      <w:spacing w:line="360" w:lineRule="auto"/>
      <w:ind w:left="200" w:leftChars="200" w:hanging="200" w:hangingChars="200"/>
    </w:pPr>
    <w:rPr>
      <w:rFonts w:ascii="Arial" w:hAnsi="Arial" w:eastAsia="宋体"/>
      <w:sz w:val="24"/>
    </w:rPr>
  </w:style>
  <w:style w:type="paragraph" w:styleId="36">
    <w:name w:val="toc 2"/>
    <w:basedOn w:val="1"/>
    <w:next w:val="1"/>
    <w:unhideWhenUsed/>
    <w:qFormat/>
    <w:uiPriority w:val="39"/>
    <w:pPr>
      <w:ind w:left="210"/>
      <w:jc w:val="left"/>
    </w:pPr>
    <w:rPr>
      <w:rFonts w:eastAsiaTheme="minorHAnsi"/>
      <w:smallCaps/>
      <w:sz w:val="20"/>
      <w:szCs w:val="20"/>
    </w:rPr>
  </w:style>
  <w:style w:type="paragraph" w:styleId="37">
    <w:name w:val="toc 9"/>
    <w:basedOn w:val="1"/>
    <w:next w:val="1"/>
    <w:unhideWhenUsed/>
    <w:qFormat/>
    <w:uiPriority w:val="39"/>
    <w:pPr>
      <w:ind w:left="1680"/>
      <w:jc w:val="left"/>
    </w:pPr>
    <w:rPr>
      <w:rFonts w:eastAsiaTheme="minorHAnsi"/>
      <w:sz w:val="18"/>
      <w:szCs w:val="18"/>
    </w:rPr>
  </w:style>
  <w:style w:type="paragraph" w:styleId="38">
    <w:name w:val="Body Text 2"/>
    <w:basedOn w:val="1"/>
    <w:link w:val="121"/>
    <w:qFormat/>
    <w:uiPriority w:val="0"/>
    <w:pPr>
      <w:autoSpaceDE w:val="0"/>
      <w:autoSpaceDN w:val="0"/>
      <w:adjustRightInd w:val="0"/>
      <w:spacing w:after="120" w:line="480" w:lineRule="auto"/>
      <w:jc w:val="left"/>
    </w:pPr>
    <w:rPr>
      <w:rFonts w:ascii="宋体" w:hAnsi="Times New Roman" w:eastAsia="宋体" w:cs="Times New Roman"/>
      <w:kern w:val="0"/>
      <w:sz w:val="24"/>
      <w:szCs w:val="24"/>
    </w:rPr>
  </w:style>
  <w:style w:type="paragraph" w:styleId="39">
    <w:name w:val="HTML Preformatted"/>
    <w:basedOn w:val="1"/>
    <w:link w:val="1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left"/>
    </w:pPr>
    <w:rPr>
      <w:rFonts w:ascii="宋体" w:hAnsi="宋体" w:eastAsia="宋体" w:cs="Times New Roman"/>
      <w:color w:val="000000"/>
      <w:kern w:val="0"/>
      <w:sz w:val="24"/>
      <w:szCs w:val="24"/>
    </w:rPr>
  </w:style>
  <w:style w:type="paragraph" w:styleId="4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1">
    <w:name w:val="index 1"/>
    <w:basedOn w:val="1"/>
    <w:next w:val="1"/>
    <w:qFormat/>
    <w:uiPriority w:val="0"/>
    <w:pPr>
      <w:suppressAutoHyphens/>
      <w:autoSpaceDE w:val="0"/>
      <w:autoSpaceDN w:val="0"/>
      <w:adjustRightInd w:val="0"/>
      <w:spacing w:line="360" w:lineRule="auto"/>
      <w:ind w:firstLine="538"/>
      <w:jc w:val="left"/>
    </w:pPr>
    <w:rPr>
      <w:rFonts w:ascii="宋体" w:hAnsi="Times New Roman" w:eastAsia="宋体" w:cs="Times New Roman"/>
      <w:bCs/>
      <w:kern w:val="1"/>
      <w:sz w:val="24"/>
      <w:szCs w:val="24"/>
      <w:lang w:eastAsia="ar-SA"/>
    </w:rPr>
  </w:style>
  <w:style w:type="paragraph" w:styleId="42">
    <w:name w:val="Title"/>
    <w:basedOn w:val="1"/>
    <w:next w:val="1"/>
    <w:link w:val="89"/>
    <w:qFormat/>
    <w:uiPriority w:val="0"/>
    <w:pPr>
      <w:spacing w:before="240" w:after="60" w:line="360" w:lineRule="auto"/>
      <w:jc w:val="center"/>
      <w:outlineLvl w:val="0"/>
    </w:pPr>
    <w:rPr>
      <w:rFonts w:asciiTheme="majorHAnsi" w:hAnsiTheme="majorHAnsi" w:eastAsiaTheme="majorEastAsia" w:cstheme="majorBidi"/>
      <w:b/>
      <w:bCs/>
      <w:sz w:val="84"/>
      <w:szCs w:val="32"/>
    </w:rPr>
  </w:style>
  <w:style w:type="paragraph" w:styleId="43">
    <w:name w:val="annotation subject"/>
    <w:basedOn w:val="15"/>
    <w:next w:val="15"/>
    <w:link w:val="84"/>
    <w:semiHidden/>
    <w:unhideWhenUsed/>
    <w:qFormat/>
    <w:uiPriority w:val="99"/>
    <w:rPr>
      <w:b/>
      <w:bCs/>
    </w:rPr>
  </w:style>
  <w:style w:type="paragraph" w:styleId="44">
    <w:name w:val="Body Text First Indent"/>
    <w:basedOn w:val="17"/>
    <w:link w:val="76"/>
    <w:qFormat/>
    <w:uiPriority w:val="0"/>
    <w:pPr>
      <w:spacing w:line="360" w:lineRule="auto"/>
      <w:ind w:firstLine="420" w:firstLineChars="100"/>
    </w:pPr>
    <w:rPr>
      <w:rFonts w:ascii="宋体"/>
      <w:szCs w:val="20"/>
    </w:rPr>
  </w:style>
  <w:style w:type="paragraph" w:styleId="45">
    <w:name w:val="Body Text First Indent 2"/>
    <w:basedOn w:val="18"/>
    <w:link w:val="125"/>
    <w:qFormat/>
    <w:uiPriority w:val="0"/>
    <w:pPr>
      <w:tabs>
        <w:tab w:val="clear" w:pos="3960"/>
      </w:tabs>
      <w:autoSpaceDE w:val="0"/>
      <w:autoSpaceDN w:val="0"/>
      <w:adjustRightInd w:val="0"/>
      <w:spacing w:after="120" w:line="240" w:lineRule="auto"/>
      <w:ind w:left="420" w:leftChars="200" w:firstLine="420" w:firstLineChars="200"/>
      <w:jc w:val="left"/>
    </w:pPr>
    <w:rPr>
      <w:rFonts w:ascii="宋体"/>
      <w:kern w:val="0"/>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endnote reference"/>
    <w:basedOn w:val="48"/>
    <w:semiHidden/>
    <w:unhideWhenUsed/>
    <w:qFormat/>
    <w:uiPriority w:val="99"/>
    <w:rPr>
      <w:vertAlign w:val="superscript"/>
    </w:rPr>
  </w:style>
  <w:style w:type="character" w:styleId="50">
    <w:name w:val="page number"/>
    <w:basedOn w:val="48"/>
    <w:qFormat/>
    <w:uiPriority w:val="0"/>
  </w:style>
  <w:style w:type="character" w:styleId="51">
    <w:name w:val="FollowedHyperlink"/>
    <w:semiHidden/>
    <w:unhideWhenUsed/>
    <w:qFormat/>
    <w:uiPriority w:val="99"/>
    <w:rPr>
      <w:color w:val="800080"/>
      <w:u w:val="single"/>
    </w:rPr>
  </w:style>
  <w:style w:type="character" w:styleId="52">
    <w:name w:val="Emphasis"/>
    <w:basedOn w:val="48"/>
    <w:qFormat/>
    <w:uiPriority w:val="20"/>
    <w:rPr>
      <w:i/>
      <w:iCs/>
    </w:rPr>
  </w:style>
  <w:style w:type="character" w:styleId="53">
    <w:name w:val="Hyperlink"/>
    <w:basedOn w:val="48"/>
    <w:unhideWhenUsed/>
    <w:qFormat/>
    <w:uiPriority w:val="99"/>
    <w:rPr>
      <w:color w:val="0563C1" w:themeColor="hyperlink"/>
      <w:u w:val="single"/>
      <w14:textFill>
        <w14:solidFill>
          <w14:schemeClr w14:val="hlink"/>
        </w14:solidFill>
      </w14:textFill>
    </w:rPr>
  </w:style>
  <w:style w:type="character" w:styleId="54">
    <w:name w:val="annotation reference"/>
    <w:basedOn w:val="48"/>
    <w:unhideWhenUsed/>
    <w:qFormat/>
    <w:uiPriority w:val="99"/>
    <w:rPr>
      <w:sz w:val="21"/>
      <w:szCs w:val="21"/>
    </w:rPr>
  </w:style>
  <w:style w:type="character" w:styleId="55">
    <w:name w:val="footnote reference"/>
    <w:basedOn w:val="48"/>
    <w:semiHidden/>
    <w:unhideWhenUsed/>
    <w:qFormat/>
    <w:uiPriority w:val="99"/>
    <w:rPr>
      <w:vertAlign w:val="superscript"/>
    </w:rPr>
  </w:style>
  <w:style w:type="character" w:customStyle="1" w:styleId="56">
    <w:name w:val="标题 1 字符"/>
    <w:basedOn w:val="48"/>
    <w:link w:val="2"/>
    <w:qFormat/>
    <w:uiPriority w:val="99"/>
    <w:rPr>
      <w:rFonts w:ascii="宋体" w:hAnsi="宋体" w:eastAsia="宋体"/>
      <w:b/>
      <w:bCs/>
      <w:kern w:val="44"/>
      <w:sz w:val="40"/>
      <w:szCs w:val="44"/>
    </w:rPr>
  </w:style>
  <w:style w:type="character" w:customStyle="1" w:styleId="57">
    <w:name w:val="页眉 字符"/>
    <w:basedOn w:val="48"/>
    <w:link w:val="29"/>
    <w:qFormat/>
    <w:uiPriority w:val="99"/>
    <w:rPr>
      <w:sz w:val="18"/>
      <w:szCs w:val="18"/>
    </w:rPr>
  </w:style>
  <w:style w:type="character" w:customStyle="1" w:styleId="58">
    <w:name w:val="页脚 字符"/>
    <w:basedOn w:val="48"/>
    <w:link w:val="28"/>
    <w:qFormat/>
    <w:uiPriority w:val="99"/>
    <w:rPr>
      <w:sz w:val="18"/>
      <w:szCs w:val="18"/>
    </w:rPr>
  </w:style>
  <w:style w:type="paragraph" w:styleId="59">
    <w:name w:val="List Paragraph"/>
    <w:basedOn w:val="1"/>
    <w:link w:val="74"/>
    <w:qFormat/>
    <w:uiPriority w:val="34"/>
    <w:pPr>
      <w:ind w:firstLine="420" w:firstLineChars="200"/>
    </w:pPr>
  </w:style>
  <w:style w:type="character" w:customStyle="1" w:styleId="60">
    <w:name w:val="标题 2 字符"/>
    <w:basedOn w:val="48"/>
    <w:link w:val="3"/>
    <w:qFormat/>
    <w:uiPriority w:val="0"/>
    <w:rPr>
      <w:rFonts w:ascii="宋体" w:hAnsi="宋体" w:eastAsia="宋体" w:cstheme="majorBidi"/>
      <w:b/>
      <w:bCs/>
      <w:sz w:val="32"/>
      <w:szCs w:val="36"/>
    </w:rPr>
  </w:style>
  <w:style w:type="character" w:customStyle="1" w:styleId="61">
    <w:name w:val="标题 3 字符"/>
    <w:basedOn w:val="48"/>
    <w:link w:val="4"/>
    <w:qFormat/>
    <w:uiPriority w:val="0"/>
    <w:rPr>
      <w:rFonts w:ascii="宋体" w:hAnsi="宋体" w:eastAsia="宋体"/>
      <w:b/>
      <w:bCs/>
      <w:sz w:val="28"/>
      <w:szCs w:val="32"/>
    </w:rPr>
  </w:style>
  <w:style w:type="character" w:customStyle="1" w:styleId="62">
    <w:name w:val="标题 4 字符"/>
    <w:basedOn w:val="48"/>
    <w:link w:val="5"/>
    <w:qFormat/>
    <w:uiPriority w:val="0"/>
    <w:rPr>
      <w:rFonts w:ascii="宋体" w:hAnsi="宋体" w:eastAsia="宋体" w:cstheme="majorBidi"/>
      <w:b/>
      <w:bCs/>
      <w:sz w:val="28"/>
      <w:szCs w:val="28"/>
    </w:rPr>
  </w:style>
  <w:style w:type="character" w:customStyle="1" w:styleId="63">
    <w:name w:val="标题 5 字符"/>
    <w:basedOn w:val="48"/>
    <w:link w:val="6"/>
    <w:qFormat/>
    <w:uiPriority w:val="0"/>
    <w:rPr>
      <w:rFonts w:ascii="宋体" w:hAnsi="宋体" w:eastAsia="宋体"/>
      <w:b/>
      <w:bCs/>
      <w:sz w:val="24"/>
      <w:szCs w:val="24"/>
    </w:rPr>
  </w:style>
  <w:style w:type="character" w:customStyle="1" w:styleId="64">
    <w:name w:val="标题 6 字符"/>
    <w:basedOn w:val="48"/>
    <w:link w:val="7"/>
    <w:qFormat/>
    <w:uiPriority w:val="0"/>
    <w:rPr>
      <w:rFonts w:ascii="宋体" w:hAnsi="宋体" w:eastAsia="宋体" w:cstheme="majorBidi"/>
      <w:b/>
      <w:bCs/>
      <w:sz w:val="24"/>
      <w:szCs w:val="24"/>
    </w:rPr>
  </w:style>
  <w:style w:type="character" w:customStyle="1" w:styleId="65">
    <w:name w:val="标题 7 字符"/>
    <w:basedOn w:val="48"/>
    <w:link w:val="8"/>
    <w:qFormat/>
    <w:uiPriority w:val="0"/>
    <w:rPr>
      <w:b/>
      <w:bCs/>
      <w:sz w:val="24"/>
      <w:szCs w:val="24"/>
    </w:rPr>
  </w:style>
  <w:style w:type="character" w:customStyle="1" w:styleId="66">
    <w:name w:val="标题 8 字符"/>
    <w:basedOn w:val="48"/>
    <w:link w:val="9"/>
    <w:qFormat/>
    <w:uiPriority w:val="0"/>
    <w:rPr>
      <w:rFonts w:asciiTheme="majorHAnsi" w:hAnsiTheme="majorHAnsi" w:eastAsiaTheme="majorEastAsia" w:cstheme="majorBidi"/>
      <w:sz w:val="24"/>
      <w:szCs w:val="24"/>
    </w:rPr>
  </w:style>
  <w:style w:type="character" w:customStyle="1" w:styleId="67">
    <w:name w:val="标题 9 字符"/>
    <w:basedOn w:val="48"/>
    <w:link w:val="10"/>
    <w:qFormat/>
    <w:uiPriority w:val="0"/>
    <w:rPr>
      <w:rFonts w:asciiTheme="majorHAnsi" w:hAnsiTheme="majorHAnsi" w:eastAsiaTheme="majorEastAsia" w:cstheme="majorBidi"/>
      <w:szCs w:val="21"/>
    </w:rPr>
  </w:style>
  <w:style w:type="character" w:customStyle="1" w:styleId="68">
    <w:name w:val="font31"/>
    <w:basedOn w:val="48"/>
    <w:qFormat/>
    <w:uiPriority w:val="0"/>
    <w:rPr>
      <w:rFonts w:hint="eastAsia" w:ascii="微软雅黑" w:hAnsi="微软雅黑" w:eastAsia="微软雅黑"/>
      <w:color w:val="000000"/>
      <w:sz w:val="20"/>
      <w:szCs w:val="20"/>
      <w:u w:val="none"/>
    </w:rPr>
  </w:style>
  <w:style w:type="character" w:customStyle="1" w:styleId="69">
    <w:name w:val="font11"/>
    <w:basedOn w:val="48"/>
    <w:qFormat/>
    <w:uiPriority w:val="0"/>
    <w:rPr>
      <w:rFonts w:hint="eastAsia" w:ascii="微软雅黑" w:hAnsi="微软雅黑" w:eastAsia="微软雅黑"/>
      <w:b/>
      <w:bCs/>
      <w:color w:val="000000"/>
      <w:sz w:val="20"/>
      <w:szCs w:val="20"/>
      <w:u w:val="none"/>
    </w:rPr>
  </w:style>
  <w:style w:type="character" w:customStyle="1" w:styleId="70">
    <w:name w:val="font01"/>
    <w:basedOn w:val="48"/>
    <w:qFormat/>
    <w:uiPriority w:val="0"/>
    <w:rPr>
      <w:rFonts w:hint="eastAsia" w:ascii="微软雅黑" w:hAnsi="微软雅黑" w:eastAsia="微软雅黑"/>
      <w:b/>
      <w:bCs/>
      <w:color w:val="FF0000"/>
      <w:sz w:val="20"/>
      <w:szCs w:val="20"/>
      <w:u w:val="none"/>
    </w:rPr>
  </w:style>
  <w:style w:type="character" w:customStyle="1" w:styleId="71">
    <w:name w:val="font21"/>
    <w:basedOn w:val="48"/>
    <w:qFormat/>
    <w:uiPriority w:val="0"/>
    <w:rPr>
      <w:rFonts w:hint="eastAsia" w:ascii="微软雅黑" w:hAnsi="微软雅黑" w:eastAsia="微软雅黑"/>
      <w:color w:val="000000"/>
      <w:sz w:val="20"/>
      <w:szCs w:val="20"/>
      <w:u w:val="none"/>
    </w:rPr>
  </w:style>
  <w:style w:type="character" w:customStyle="1" w:styleId="72">
    <w:name w:val="font41"/>
    <w:basedOn w:val="48"/>
    <w:qFormat/>
    <w:uiPriority w:val="0"/>
    <w:rPr>
      <w:rFonts w:hint="eastAsia" w:ascii="微软雅黑" w:hAnsi="微软雅黑" w:eastAsia="微软雅黑"/>
      <w:color w:val="000000"/>
      <w:sz w:val="20"/>
      <w:szCs w:val="20"/>
      <w:u w:val="none"/>
    </w:rPr>
  </w:style>
  <w:style w:type="character" w:customStyle="1" w:styleId="73">
    <w:name w:val="font61"/>
    <w:basedOn w:val="48"/>
    <w:qFormat/>
    <w:uiPriority w:val="0"/>
    <w:rPr>
      <w:rFonts w:hint="eastAsia" w:ascii="微软雅黑" w:hAnsi="微软雅黑" w:eastAsia="微软雅黑"/>
      <w:color w:val="000000"/>
      <w:sz w:val="20"/>
      <w:szCs w:val="20"/>
      <w:u w:val="none"/>
    </w:rPr>
  </w:style>
  <w:style w:type="character" w:customStyle="1" w:styleId="74">
    <w:name w:val="列出段落 字符"/>
    <w:link w:val="59"/>
    <w:qFormat/>
    <w:uiPriority w:val="34"/>
  </w:style>
  <w:style w:type="character" w:customStyle="1" w:styleId="75">
    <w:name w:val="正文文本 字符"/>
    <w:basedOn w:val="48"/>
    <w:link w:val="17"/>
    <w:qFormat/>
    <w:uiPriority w:val="0"/>
    <w:rPr>
      <w:rFonts w:ascii="Times New Roman" w:hAnsi="Times New Roman" w:eastAsia="宋体" w:cs="Times New Roman"/>
      <w:kern w:val="0"/>
      <w:sz w:val="24"/>
      <w:szCs w:val="24"/>
    </w:rPr>
  </w:style>
  <w:style w:type="character" w:customStyle="1" w:styleId="76">
    <w:name w:val="正文首行缩进 字符"/>
    <w:basedOn w:val="75"/>
    <w:link w:val="44"/>
    <w:qFormat/>
    <w:uiPriority w:val="0"/>
    <w:rPr>
      <w:rFonts w:ascii="宋体" w:hAnsi="Times New Roman" w:eastAsia="宋体" w:cs="Times New Roman"/>
      <w:kern w:val="0"/>
      <w:sz w:val="24"/>
      <w:szCs w:val="20"/>
    </w:rPr>
  </w:style>
  <w:style w:type="paragraph" w:customStyle="1" w:styleId="77">
    <w:name w:val="标题2"/>
    <w:basedOn w:val="3"/>
    <w:link w:val="78"/>
    <w:qFormat/>
    <w:uiPriority w:val="0"/>
  </w:style>
  <w:style w:type="character" w:customStyle="1" w:styleId="78">
    <w:name w:val="标题2 Char"/>
    <w:basedOn w:val="60"/>
    <w:link w:val="77"/>
    <w:qFormat/>
    <w:uiPriority w:val="0"/>
    <w:rPr>
      <w:rFonts w:ascii="宋体" w:hAnsi="宋体" w:eastAsia="宋体" w:cstheme="majorBidi"/>
      <w:sz w:val="32"/>
      <w:szCs w:val="36"/>
    </w:rPr>
  </w:style>
  <w:style w:type="character" w:customStyle="1" w:styleId="79">
    <w:name w:val="样式 正文缩进 + 首行缩进:  2 字符 Char_0"/>
    <w:link w:val="80"/>
    <w:qFormat/>
    <w:uiPriority w:val="0"/>
    <w:rPr>
      <w:rFonts w:cs="宋体"/>
    </w:rPr>
  </w:style>
  <w:style w:type="paragraph" w:customStyle="1" w:styleId="80">
    <w:name w:val="样式 正文缩进 + 首行缩进:  2 字符_0"/>
    <w:basedOn w:val="1"/>
    <w:link w:val="79"/>
    <w:qFormat/>
    <w:uiPriority w:val="0"/>
    <w:pPr>
      <w:spacing w:line="360" w:lineRule="auto"/>
      <w:ind w:firstLine="200"/>
    </w:pPr>
    <w:rPr>
      <w:rFonts w:cs="宋体"/>
    </w:rPr>
  </w:style>
  <w:style w:type="character" w:customStyle="1" w:styleId="81">
    <w:name w:val="apple-style-span"/>
    <w:qFormat/>
    <w:uiPriority w:val="0"/>
  </w:style>
  <w:style w:type="character" w:customStyle="1" w:styleId="82">
    <w:name w:val="批注框文本 字符"/>
    <w:basedOn w:val="48"/>
    <w:link w:val="27"/>
    <w:semiHidden/>
    <w:qFormat/>
    <w:uiPriority w:val="0"/>
    <w:rPr>
      <w:sz w:val="18"/>
      <w:szCs w:val="18"/>
    </w:rPr>
  </w:style>
  <w:style w:type="character" w:customStyle="1" w:styleId="83">
    <w:name w:val="批注文字 字符"/>
    <w:basedOn w:val="48"/>
    <w:link w:val="15"/>
    <w:qFormat/>
    <w:uiPriority w:val="99"/>
  </w:style>
  <w:style w:type="character" w:customStyle="1" w:styleId="84">
    <w:name w:val="批注主题 字符"/>
    <w:basedOn w:val="83"/>
    <w:link w:val="43"/>
    <w:semiHidden/>
    <w:qFormat/>
    <w:uiPriority w:val="99"/>
    <w:rPr>
      <w:b/>
      <w:bCs/>
    </w:rPr>
  </w:style>
  <w:style w:type="paragraph" w:styleId="85">
    <w:name w:val="No Spacing"/>
    <w:link w:val="86"/>
    <w:qFormat/>
    <w:uiPriority w:val="99"/>
    <w:rPr>
      <w:rFonts w:asciiTheme="minorHAnsi" w:hAnsiTheme="minorHAnsi" w:eastAsiaTheme="minorEastAsia" w:cstheme="minorBidi"/>
      <w:kern w:val="0"/>
      <w:sz w:val="22"/>
      <w:szCs w:val="22"/>
      <w:lang w:val="en-US" w:eastAsia="zh-CN" w:bidi="ar-SA"/>
    </w:rPr>
  </w:style>
  <w:style w:type="character" w:customStyle="1" w:styleId="86">
    <w:name w:val="无间隔 字符"/>
    <w:basedOn w:val="48"/>
    <w:link w:val="85"/>
    <w:qFormat/>
    <w:uiPriority w:val="99"/>
    <w:rPr>
      <w:kern w:val="0"/>
      <w:sz w:val="22"/>
    </w:rPr>
  </w:style>
  <w:style w:type="paragraph" w:customStyle="1" w:styleId="87">
    <w:name w:val="正文（首行缩进2字符）"/>
    <w:basedOn w:val="1"/>
    <w:link w:val="88"/>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88">
    <w:name w:val="正文（首行缩进2字符） Char"/>
    <w:link w:val="87"/>
    <w:qFormat/>
    <w:uiPriority w:val="0"/>
    <w:rPr>
      <w:rFonts w:ascii="Times New Roman" w:hAnsi="Times New Roman" w:eastAsia="宋体" w:cs="Times New Roman"/>
      <w:sz w:val="24"/>
      <w:szCs w:val="24"/>
    </w:rPr>
  </w:style>
  <w:style w:type="character" w:customStyle="1" w:styleId="89">
    <w:name w:val="标题 字符"/>
    <w:basedOn w:val="48"/>
    <w:link w:val="42"/>
    <w:qFormat/>
    <w:uiPriority w:val="0"/>
    <w:rPr>
      <w:rFonts w:asciiTheme="majorHAnsi" w:hAnsiTheme="majorHAnsi" w:eastAsiaTheme="majorEastAsia" w:cstheme="majorBidi"/>
      <w:b/>
      <w:bCs/>
      <w:sz w:val="84"/>
      <w:szCs w:val="32"/>
    </w:rPr>
  </w:style>
  <w:style w:type="character" w:customStyle="1" w:styleId="90">
    <w:name w:val="加粗"/>
    <w:qFormat/>
    <w:uiPriority w:val="0"/>
    <w:rPr>
      <w:b/>
      <w:color w:val="auto"/>
    </w:rPr>
  </w:style>
  <w:style w:type="paragraph" w:customStyle="1" w:styleId="91">
    <w:name w:val="正文360"/>
    <w:link w:val="95"/>
    <w:qFormat/>
    <w:uiPriority w:val="0"/>
    <w:pPr>
      <w:spacing w:line="300" w:lineRule="auto"/>
    </w:pPr>
    <w:rPr>
      <w:rFonts w:ascii="Arial" w:hAnsi="Arial" w:cs="Times New Roman" w:eastAsiaTheme="minorEastAsia"/>
      <w:kern w:val="0"/>
      <w:sz w:val="21"/>
      <w:szCs w:val="21"/>
      <w:lang w:val="en-US" w:eastAsia="zh-CN" w:bidi="ar-SA"/>
    </w:rPr>
  </w:style>
  <w:style w:type="paragraph" w:customStyle="1" w:styleId="92">
    <w:name w:val="文档名称"/>
    <w:basedOn w:val="1"/>
    <w:link w:val="93"/>
    <w:qFormat/>
    <w:uiPriority w:val="0"/>
    <w:pPr>
      <w:spacing w:before="1560" w:beforeLines="500" w:line="360" w:lineRule="auto"/>
      <w:jc w:val="center"/>
    </w:pPr>
    <w:rPr>
      <w:rFonts w:ascii="黑体" w:hAnsi="黑体" w:eastAsia="黑体" w:cs="Times New Roman"/>
      <w:b/>
      <w:sz w:val="52"/>
      <w:szCs w:val="52"/>
    </w:rPr>
  </w:style>
  <w:style w:type="character" w:customStyle="1" w:styleId="93">
    <w:name w:val="文档名称 Char"/>
    <w:basedOn w:val="48"/>
    <w:link w:val="92"/>
    <w:qFormat/>
    <w:uiPriority w:val="0"/>
    <w:rPr>
      <w:rFonts w:ascii="黑体" w:hAnsi="黑体" w:eastAsia="黑体" w:cs="Times New Roman"/>
      <w:b/>
      <w:sz w:val="52"/>
      <w:szCs w:val="52"/>
    </w:rPr>
  </w:style>
  <w:style w:type="paragraph" w:customStyle="1" w:styleId="94">
    <w:name w:val="图片"/>
    <w:basedOn w:val="91"/>
    <w:next w:val="91"/>
    <w:link w:val="96"/>
    <w:qFormat/>
    <w:uiPriority w:val="0"/>
    <w:pPr>
      <w:spacing w:before="25" w:beforeLines="25" w:after="25" w:afterLines="25"/>
      <w:jc w:val="center"/>
    </w:pPr>
  </w:style>
  <w:style w:type="character" w:customStyle="1" w:styleId="95">
    <w:name w:val="正文360 Char"/>
    <w:basedOn w:val="48"/>
    <w:link w:val="91"/>
    <w:qFormat/>
    <w:uiPriority w:val="0"/>
    <w:rPr>
      <w:rFonts w:ascii="Arial" w:hAnsi="Arial" w:cs="Times New Roman"/>
      <w:kern w:val="0"/>
      <w:szCs w:val="21"/>
    </w:rPr>
  </w:style>
  <w:style w:type="character" w:customStyle="1" w:styleId="96">
    <w:name w:val="图片 Char"/>
    <w:basedOn w:val="95"/>
    <w:link w:val="94"/>
    <w:qFormat/>
    <w:uiPriority w:val="0"/>
    <w:rPr>
      <w:rFonts w:ascii="Arial" w:hAnsi="Arial" w:cs="Times New Roman"/>
      <w:kern w:val="0"/>
      <w:szCs w:val="21"/>
    </w:rPr>
  </w:style>
  <w:style w:type="paragraph" w:customStyle="1" w:styleId="97">
    <w:name w:val="页脚左端（奇虎360）"/>
    <w:basedOn w:val="1"/>
    <w:qFormat/>
    <w:uiPriority w:val="0"/>
    <w:pPr>
      <w:widowControl/>
      <w:pBdr>
        <w:top w:val="single" w:color="auto" w:sz="4" w:space="4"/>
      </w:pBdr>
      <w:tabs>
        <w:tab w:val="center" w:pos="4153"/>
        <w:tab w:val="right" w:pos="8306"/>
      </w:tabs>
      <w:snapToGrid w:val="0"/>
      <w:spacing w:before="100" w:beforeAutospacing="1" w:line="360" w:lineRule="auto"/>
      <w:jc w:val="left"/>
    </w:pPr>
    <w:rPr>
      <w:rFonts w:ascii="Arial" w:hAnsi="Arial" w:eastAsia="宋体" w:cs="Times New Roman"/>
      <w:b/>
      <w:kern w:val="0"/>
      <w:sz w:val="18"/>
      <w:szCs w:val="18"/>
    </w:rPr>
  </w:style>
  <w:style w:type="paragraph" w:customStyle="1" w:styleId="98">
    <w:name w:val="Char Char Char"/>
    <w:basedOn w:val="1"/>
    <w:qFormat/>
    <w:uiPriority w:val="0"/>
    <w:pPr>
      <w:spacing w:line="360" w:lineRule="auto"/>
    </w:pPr>
    <w:rPr>
      <w:rFonts w:ascii="Tahoma" w:hAnsi="Tahoma" w:eastAsia="宋体" w:cs="Times New Roman"/>
      <w:sz w:val="24"/>
      <w:szCs w:val="20"/>
    </w:rPr>
  </w:style>
  <w:style w:type="paragraph" w:customStyle="1" w:styleId="99">
    <w:name w:val="TOC Heading"/>
    <w:basedOn w:val="2"/>
    <w:next w:val="1"/>
    <w:unhideWhenUsed/>
    <w:qFormat/>
    <w:uiPriority w:val="39"/>
    <w:pPr>
      <w:widowControl/>
      <w:numPr>
        <w:numId w:val="0"/>
      </w:numPr>
      <w:spacing w:before="480" w:line="276" w:lineRule="auto"/>
      <w:ind w:left="432" w:hanging="432"/>
      <w:outlineLvl w:val="9"/>
    </w:pPr>
    <w:rPr>
      <w:rFonts w:asciiTheme="majorHAnsi" w:hAnsiTheme="majorHAnsi" w:eastAsiaTheme="majorEastAsia" w:cstheme="majorBidi"/>
      <w:color w:val="2E75B6" w:themeColor="accent1" w:themeShade="BF"/>
      <w:kern w:val="0"/>
      <w:sz w:val="28"/>
      <w:szCs w:val="28"/>
    </w:rPr>
  </w:style>
  <w:style w:type="character" w:customStyle="1" w:styleId="100">
    <w:name w:val="尾注文本 字符"/>
    <w:basedOn w:val="48"/>
    <w:link w:val="26"/>
    <w:semiHidden/>
    <w:qFormat/>
    <w:uiPriority w:val="99"/>
    <w:rPr>
      <w:rFonts w:ascii="Arial" w:hAnsi="Arial" w:eastAsia="宋体"/>
      <w:sz w:val="24"/>
    </w:rPr>
  </w:style>
  <w:style w:type="character" w:customStyle="1" w:styleId="101">
    <w:name w:val="文档结构图 字符"/>
    <w:basedOn w:val="48"/>
    <w:link w:val="14"/>
    <w:semiHidden/>
    <w:qFormat/>
    <w:uiPriority w:val="0"/>
    <w:rPr>
      <w:rFonts w:ascii="宋体" w:hAnsi="Arial" w:eastAsia="宋体"/>
      <w:sz w:val="18"/>
      <w:szCs w:val="18"/>
    </w:rPr>
  </w:style>
  <w:style w:type="character" w:customStyle="1" w:styleId="102">
    <w:name w:val="脚注文本 字符"/>
    <w:basedOn w:val="48"/>
    <w:link w:val="32"/>
    <w:semiHidden/>
    <w:qFormat/>
    <w:uiPriority w:val="99"/>
    <w:rPr>
      <w:rFonts w:ascii="Arial" w:hAnsi="Arial" w:eastAsia="宋体"/>
      <w:sz w:val="18"/>
      <w:szCs w:val="18"/>
    </w:rPr>
  </w:style>
  <w:style w:type="character" w:customStyle="1" w:styleId="103">
    <w:name w:val="tablink"/>
    <w:basedOn w:val="48"/>
    <w:qFormat/>
    <w:uiPriority w:val="0"/>
  </w:style>
  <w:style w:type="paragraph" w:customStyle="1" w:styleId="104">
    <w:name w:val="Char"/>
    <w:basedOn w:val="1"/>
    <w:qFormat/>
    <w:uiPriority w:val="0"/>
    <w:pPr>
      <w:tabs>
        <w:tab w:val="left" w:pos="360"/>
      </w:tabs>
      <w:spacing w:line="360" w:lineRule="auto"/>
    </w:pPr>
    <w:rPr>
      <w:rFonts w:ascii="Times New Roman" w:hAnsi="Times New Roman" w:eastAsia="宋体" w:cs="Times New Roman"/>
      <w:sz w:val="24"/>
      <w:szCs w:val="24"/>
    </w:rPr>
  </w:style>
  <w:style w:type="character" w:customStyle="1" w:styleId="105">
    <w:name w:val="Intense Emphasis"/>
    <w:basedOn w:val="48"/>
    <w:qFormat/>
    <w:uiPriority w:val="21"/>
    <w:rPr>
      <w:b/>
      <w:bCs/>
      <w:i/>
      <w:iCs/>
      <w:color w:val="5B9BD5" w:themeColor="accent1"/>
      <w14:textFill>
        <w14:solidFill>
          <w14:schemeClr w14:val="accent1"/>
        </w14:solidFill>
      </w14:textFill>
    </w:rPr>
  </w:style>
  <w:style w:type="paragraph" w:customStyle="1" w:styleId="106">
    <w:name w:val="tytytyty"/>
    <w:basedOn w:val="1"/>
    <w:link w:val="109"/>
    <w:qFormat/>
    <w:uiPriority w:val="0"/>
    <w:pPr>
      <w:spacing w:line="360" w:lineRule="auto"/>
      <w:ind w:left="359" w:leftChars="171" w:firstLine="480" w:firstLineChars="200"/>
    </w:pPr>
    <w:rPr>
      <w:rFonts w:ascii="Times New Roman" w:hAnsi="Times New Roman" w:eastAsia="宋体" w:cs="Times New Roman"/>
      <w:sz w:val="24"/>
      <w:szCs w:val="24"/>
    </w:rPr>
  </w:style>
  <w:style w:type="character" w:customStyle="1" w:styleId="107">
    <w:name w:val="纯文本 字符"/>
    <w:basedOn w:val="48"/>
    <w:link w:val="22"/>
    <w:qFormat/>
    <w:uiPriority w:val="0"/>
    <w:rPr>
      <w:rFonts w:ascii="宋体" w:hAnsi="Courier New" w:eastAsia="宋体" w:cs="Times New Roman"/>
      <w:sz w:val="24"/>
      <w:szCs w:val="20"/>
    </w:rPr>
  </w:style>
  <w:style w:type="table" w:customStyle="1" w:styleId="108">
    <w:name w:val="样式3"/>
    <w:qFormat/>
    <w:uiPriority w:val="99"/>
    <w:pPr>
      <w:jc w:val="both"/>
    </w:pPr>
    <w:rPr>
      <w:rFonts w:ascii="Times New Roman" w:hAnsi="Times New Roman" w:eastAsia="宋体" w:cs="Times New Roman"/>
      <w:kern w:val="0"/>
      <w:sz w:val="20"/>
      <w:szCs w:val="20"/>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9">
    <w:name w:val="tytytyty Char1"/>
    <w:link w:val="106"/>
    <w:qFormat/>
    <w:locked/>
    <w:uiPriority w:val="0"/>
    <w:rPr>
      <w:rFonts w:ascii="Times New Roman" w:hAnsi="Times New Roman" w:eastAsia="宋体" w:cs="Times New Roman"/>
      <w:sz w:val="24"/>
      <w:szCs w:val="24"/>
    </w:rPr>
  </w:style>
  <w:style w:type="character" w:customStyle="1" w:styleId="110">
    <w:name w:val="zhdalignleft"/>
    <w:qFormat/>
    <w:uiPriority w:val="99"/>
  </w:style>
  <w:style w:type="paragraph" w:customStyle="1" w:styleId="111">
    <w:name w:val="Char1"/>
    <w:basedOn w:val="1"/>
    <w:qFormat/>
    <w:uiPriority w:val="0"/>
    <w:pPr>
      <w:tabs>
        <w:tab w:val="left" w:pos="360"/>
      </w:tabs>
      <w:spacing w:line="360" w:lineRule="auto"/>
      <w:jc w:val="center"/>
    </w:pPr>
    <w:rPr>
      <w:rFonts w:ascii="黑体" w:hAnsi="宋体" w:eastAsia="黑体" w:cs="Times New Roman"/>
      <w:i/>
      <w:iCs/>
      <w:sz w:val="24"/>
      <w:szCs w:val="21"/>
    </w:rPr>
  </w:style>
  <w:style w:type="paragraph" w:customStyle="1" w:styleId="112">
    <w:name w:val="段"/>
    <w:link w:val="173"/>
    <w:qFormat/>
    <w:uiPriority w:val="99"/>
    <w:pPr>
      <w:autoSpaceDE w:val="0"/>
      <w:autoSpaceDN w:val="0"/>
      <w:ind w:firstLine="200"/>
      <w:jc w:val="both"/>
    </w:pPr>
    <w:rPr>
      <w:rFonts w:ascii="宋体" w:hAnsi="Times New Roman" w:eastAsia="宋体" w:cs="Times New Roman"/>
      <w:kern w:val="0"/>
      <w:sz w:val="21"/>
      <w:szCs w:val="20"/>
      <w:lang w:val="en-US" w:eastAsia="zh-CN" w:bidi="ar-SA"/>
    </w:rPr>
  </w:style>
  <w:style w:type="paragraph" w:customStyle="1" w:styleId="113">
    <w:name w:val="样式 段落缩进2 小四 + 段前: 15.6 磅"/>
    <w:basedOn w:val="1"/>
    <w:qFormat/>
    <w:uiPriority w:val="0"/>
    <w:pPr>
      <w:widowControl/>
      <w:spacing w:before="312" w:after="200" w:line="360" w:lineRule="auto"/>
      <w:ind w:firstLine="480" w:firstLineChars="200"/>
      <w:jc w:val="left"/>
    </w:pPr>
    <w:rPr>
      <w:rFonts w:ascii="宋体" w:hAnsi="宋体" w:eastAsia="宋体" w:cs="Times New Roman"/>
      <w:kern w:val="0"/>
      <w:sz w:val="24"/>
      <w:szCs w:val="20"/>
      <w:lang w:eastAsia="en-US" w:bidi="en-US"/>
    </w:rPr>
  </w:style>
  <w:style w:type="character" w:customStyle="1" w:styleId="114">
    <w:name w:val="正文文本缩进 字符"/>
    <w:basedOn w:val="48"/>
    <w:link w:val="18"/>
    <w:qFormat/>
    <w:uiPriority w:val="0"/>
    <w:rPr>
      <w:rFonts w:ascii="Times New Roman" w:hAnsi="Times New Roman" w:eastAsia="宋体" w:cs="Times New Roman"/>
      <w:sz w:val="24"/>
      <w:szCs w:val="24"/>
    </w:rPr>
  </w:style>
  <w:style w:type="paragraph" w:customStyle="1" w:styleId="115">
    <w:name w:val="标准文件_标准正文"/>
    <w:basedOn w:val="1"/>
    <w:link w:val="116"/>
    <w:qFormat/>
    <w:uiPriority w:val="0"/>
    <w:pPr>
      <w:widowControl/>
      <w:autoSpaceDE w:val="0"/>
      <w:autoSpaceDN w:val="0"/>
      <w:adjustRightInd w:val="0"/>
      <w:snapToGrid w:val="0"/>
      <w:spacing w:line="300" w:lineRule="auto"/>
      <w:ind w:firstLine="200" w:firstLineChars="200"/>
      <w:jc w:val="left"/>
    </w:pPr>
    <w:rPr>
      <w:rFonts w:ascii="Times New Roman" w:hAnsi="Times New Roman" w:eastAsia="宋体" w:cs="Times New Roman"/>
      <w:bCs/>
      <w:color w:val="000000"/>
      <w:spacing w:val="2"/>
      <w:sz w:val="24"/>
      <w:szCs w:val="24"/>
    </w:rPr>
  </w:style>
  <w:style w:type="character" w:customStyle="1" w:styleId="116">
    <w:name w:val="标准文件_标准正文 Char"/>
    <w:link w:val="115"/>
    <w:qFormat/>
    <w:uiPriority w:val="0"/>
    <w:rPr>
      <w:rFonts w:ascii="Times New Roman" w:hAnsi="Times New Roman" w:eastAsia="宋体" w:cs="Times New Roman"/>
      <w:bCs/>
      <w:color w:val="000000"/>
      <w:spacing w:val="2"/>
      <w:sz w:val="24"/>
      <w:szCs w:val="24"/>
    </w:rPr>
  </w:style>
  <w:style w:type="paragraph" w:customStyle="1" w:styleId="117">
    <w:name w:val="总体设计正文样式"/>
    <w:basedOn w:val="1"/>
    <w:qFormat/>
    <w:uiPriority w:val="0"/>
    <w:pPr>
      <w:widowControl/>
      <w:spacing w:after="200" w:line="360" w:lineRule="auto"/>
      <w:ind w:firstLine="200" w:firstLineChars="200"/>
      <w:jc w:val="left"/>
    </w:pPr>
    <w:rPr>
      <w:rFonts w:ascii="宋体" w:hAnsi="Verdana" w:eastAsia="仿宋_GB2312" w:cs="宋体"/>
      <w:kern w:val="0"/>
      <w:sz w:val="24"/>
      <w:szCs w:val="20"/>
      <w:lang w:bidi="en-US"/>
    </w:rPr>
  </w:style>
  <w:style w:type="paragraph" w:customStyle="1" w:styleId="118">
    <w:name w:val="标准文件_一级项目符号"/>
    <w:basedOn w:val="1"/>
    <w:next w:val="1"/>
    <w:qFormat/>
    <w:uiPriority w:val="0"/>
    <w:pPr>
      <w:widowControl/>
      <w:numPr>
        <w:ilvl w:val="0"/>
        <w:numId w:val="3"/>
      </w:numPr>
      <w:autoSpaceDE w:val="0"/>
      <w:autoSpaceDN w:val="0"/>
      <w:adjustRightInd w:val="0"/>
      <w:snapToGrid w:val="0"/>
      <w:spacing w:line="300" w:lineRule="auto"/>
      <w:jc w:val="left"/>
    </w:pPr>
    <w:rPr>
      <w:rFonts w:ascii="宋体" w:hAnsi="Times New Roman" w:eastAsia="宋体" w:cs="Times New Roman"/>
      <w:bCs/>
      <w:color w:val="000000"/>
      <w:spacing w:val="2"/>
      <w:kern w:val="0"/>
      <w:sz w:val="24"/>
      <w:szCs w:val="24"/>
    </w:rPr>
  </w:style>
  <w:style w:type="paragraph" w:customStyle="1" w:styleId="119">
    <w:name w:val="标题1"/>
    <w:basedOn w:val="1"/>
    <w:qFormat/>
    <w:uiPriority w:val="0"/>
    <w:pPr>
      <w:autoSpaceDE w:val="0"/>
      <w:autoSpaceDN w:val="0"/>
      <w:adjustRightInd w:val="0"/>
      <w:spacing w:line="360" w:lineRule="auto"/>
      <w:jc w:val="left"/>
    </w:pPr>
    <w:rPr>
      <w:rFonts w:ascii="Tahoma" w:hAnsi="Tahoma" w:eastAsia="宋体" w:cs="Times New Roman"/>
      <w:kern w:val="0"/>
      <w:sz w:val="24"/>
      <w:szCs w:val="20"/>
    </w:rPr>
  </w:style>
  <w:style w:type="paragraph" w:customStyle="1" w:styleId="120">
    <w:name w:val="Char1 Char Char Char"/>
    <w:basedOn w:val="1"/>
    <w:qFormat/>
    <w:uiPriority w:val="0"/>
    <w:pPr>
      <w:autoSpaceDE w:val="0"/>
      <w:autoSpaceDN w:val="0"/>
      <w:adjustRightInd w:val="0"/>
      <w:spacing w:line="360" w:lineRule="auto"/>
      <w:jc w:val="left"/>
    </w:pPr>
    <w:rPr>
      <w:rFonts w:ascii="宋体" w:hAnsi="Times New Roman" w:eastAsia="宋体" w:cs="Times New Roman"/>
      <w:kern w:val="0"/>
      <w:sz w:val="24"/>
      <w:szCs w:val="20"/>
    </w:rPr>
  </w:style>
  <w:style w:type="character" w:customStyle="1" w:styleId="121">
    <w:name w:val="正文文本 2 字符"/>
    <w:basedOn w:val="48"/>
    <w:link w:val="38"/>
    <w:qFormat/>
    <w:uiPriority w:val="0"/>
    <w:rPr>
      <w:rFonts w:ascii="宋体" w:hAnsi="Times New Roman" w:eastAsia="宋体" w:cs="Times New Roman"/>
      <w:kern w:val="0"/>
      <w:sz w:val="24"/>
      <w:szCs w:val="24"/>
    </w:rPr>
  </w:style>
  <w:style w:type="character" w:customStyle="1" w:styleId="122">
    <w:name w:val="正文文本 3 字符"/>
    <w:basedOn w:val="48"/>
    <w:link w:val="16"/>
    <w:qFormat/>
    <w:uiPriority w:val="0"/>
    <w:rPr>
      <w:rFonts w:ascii="宋体" w:hAnsi="Times New Roman" w:eastAsia="宋体" w:cs="Times New Roman"/>
      <w:kern w:val="0"/>
      <w:sz w:val="16"/>
      <w:szCs w:val="16"/>
    </w:rPr>
  </w:style>
  <w:style w:type="character" w:customStyle="1" w:styleId="123">
    <w:name w:val="正文文本缩进 3 字符"/>
    <w:basedOn w:val="48"/>
    <w:link w:val="34"/>
    <w:qFormat/>
    <w:uiPriority w:val="0"/>
    <w:rPr>
      <w:rFonts w:ascii="宋体" w:hAnsi="宋体" w:eastAsia="宋体" w:cs="Times New Roman"/>
      <w:kern w:val="0"/>
      <w:sz w:val="24"/>
      <w:szCs w:val="24"/>
    </w:rPr>
  </w:style>
  <w:style w:type="paragraph" w:customStyle="1" w:styleId="124">
    <w:name w:val="表格文字末行"/>
    <w:basedOn w:val="1"/>
    <w:qFormat/>
    <w:uiPriority w:val="0"/>
    <w:pPr>
      <w:autoSpaceDE w:val="0"/>
      <w:autoSpaceDN w:val="0"/>
      <w:adjustRightInd w:val="0"/>
      <w:snapToGrid w:val="0"/>
      <w:spacing w:after="120" w:line="360" w:lineRule="exact"/>
      <w:jc w:val="left"/>
    </w:pPr>
    <w:rPr>
      <w:rFonts w:ascii="宋体" w:hAnsi="Times New Roman" w:eastAsia="宋体" w:cs="Times New Roman"/>
      <w:kern w:val="0"/>
      <w:sz w:val="24"/>
      <w:szCs w:val="24"/>
    </w:rPr>
  </w:style>
  <w:style w:type="character" w:customStyle="1" w:styleId="125">
    <w:name w:val="正文首行缩进 2 字符"/>
    <w:basedOn w:val="114"/>
    <w:link w:val="45"/>
    <w:qFormat/>
    <w:uiPriority w:val="0"/>
    <w:rPr>
      <w:rFonts w:ascii="宋体" w:hAnsi="Times New Roman" w:eastAsia="宋体" w:cs="Times New Roman"/>
      <w:kern w:val="0"/>
      <w:sz w:val="24"/>
      <w:szCs w:val="24"/>
    </w:rPr>
  </w:style>
  <w:style w:type="character" w:customStyle="1" w:styleId="126">
    <w:name w:val="日期 字符"/>
    <w:basedOn w:val="48"/>
    <w:link w:val="24"/>
    <w:qFormat/>
    <w:uiPriority w:val="0"/>
    <w:rPr>
      <w:rFonts w:ascii="宋体" w:hAnsi="Times New Roman" w:eastAsia="宋体" w:cs="Times New Roman"/>
      <w:kern w:val="0"/>
      <w:sz w:val="24"/>
      <w:szCs w:val="20"/>
    </w:rPr>
  </w:style>
  <w:style w:type="character" w:customStyle="1" w:styleId="127">
    <w:name w:val="DeltaView Insertion"/>
    <w:qFormat/>
    <w:uiPriority w:val="0"/>
  </w:style>
  <w:style w:type="paragraph" w:customStyle="1" w:styleId="128">
    <w:name w:val="Char Char Char Char Char Char Char Char Char Char Char Char Char Char Char Char Char Char Char Char Char Char Char Char Char"/>
    <w:basedOn w:val="1"/>
    <w:qFormat/>
    <w:uiPriority w:val="0"/>
    <w:pPr>
      <w:autoSpaceDE w:val="0"/>
      <w:autoSpaceDN w:val="0"/>
      <w:adjustRightInd w:val="0"/>
      <w:spacing w:line="360" w:lineRule="auto"/>
      <w:jc w:val="left"/>
    </w:pPr>
    <w:rPr>
      <w:rFonts w:ascii="Tahoma" w:hAnsi="Tahoma" w:eastAsia="宋体" w:cs="Times New Roman"/>
      <w:kern w:val="0"/>
      <w:sz w:val="24"/>
      <w:szCs w:val="20"/>
    </w:rPr>
  </w:style>
  <w:style w:type="character" w:customStyle="1" w:styleId="129">
    <w:name w:val="正文文本缩进 2 字符"/>
    <w:basedOn w:val="48"/>
    <w:link w:val="25"/>
    <w:qFormat/>
    <w:uiPriority w:val="0"/>
    <w:rPr>
      <w:rFonts w:ascii="宋体" w:hAnsi="Times New Roman" w:eastAsia="宋体" w:cs="Times New Roman"/>
      <w:kern w:val="0"/>
      <w:sz w:val="24"/>
      <w:szCs w:val="24"/>
    </w:rPr>
  </w:style>
  <w:style w:type="paragraph" w:customStyle="1" w:styleId="130">
    <w:name w:val="普通正文"/>
    <w:basedOn w:val="1"/>
    <w:qFormat/>
    <w:uiPriority w:val="0"/>
    <w:pPr>
      <w:autoSpaceDE w:val="0"/>
      <w:autoSpaceDN w:val="0"/>
      <w:adjustRightInd w:val="0"/>
      <w:spacing w:before="120" w:after="120" w:line="360" w:lineRule="auto"/>
      <w:ind w:firstLine="480"/>
      <w:jc w:val="left"/>
    </w:pPr>
    <w:rPr>
      <w:rFonts w:ascii="Arial" w:hAnsi="Arial" w:eastAsia="宋体" w:cs="Times New Roman"/>
      <w:kern w:val="0"/>
      <w:sz w:val="24"/>
      <w:szCs w:val="24"/>
    </w:rPr>
  </w:style>
  <w:style w:type="paragraph" w:customStyle="1" w:styleId="131">
    <w:name w:val="xl25"/>
    <w:basedOn w:val="1"/>
    <w:qFormat/>
    <w:uiPriority w:val="0"/>
    <w:pPr>
      <w:widowControl/>
      <w:autoSpaceDE w:val="0"/>
      <w:autoSpaceDN w:val="0"/>
      <w:adjustRightInd w:val="0"/>
      <w:spacing w:before="100" w:beforeAutospacing="1" w:after="100" w:afterAutospacing="1" w:line="360" w:lineRule="auto"/>
      <w:jc w:val="center"/>
    </w:pPr>
    <w:rPr>
      <w:rFonts w:ascii="Arial Unicode MS" w:hAnsi="Arial Unicode MS" w:eastAsia="Arial Unicode MS" w:cs="Arial Unicode MS"/>
      <w:kern w:val="0"/>
      <w:sz w:val="24"/>
      <w:szCs w:val="24"/>
    </w:rPr>
  </w:style>
  <w:style w:type="character" w:customStyle="1" w:styleId="132">
    <w:name w:val="tytytyty Char"/>
    <w:qFormat/>
    <w:uiPriority w:val="0"/>
    <w:rPr>
      <w:rFonts w:eastAsia="宋体"/>
      <w:kern w:val="2"/>
      <w:sz w:val="24"/>
      <w:szCs w:val="24"/>
      <w:lang w:val="en-US" w:eastAsia="zh-CN" w:bidi="ar-SA"/>
    </w:rPr>
  </w:style>
  <w:style w:type="paragraph" w:customStyle="1" w:styleId="133">
    <w:name w:val="biaoti1"/>
    <w:basedOn w:val="2"/>
    <w:qFormat/>
    <w:uiPriority w:val="0"/>
    <w:pPr>
      <w:numPr>
        <w:numId w:val="4"/>
      </w:numPr>
      <w:tabs>
        <w:tab w:val="left" w:pos="420"/>
      </w:tabs>
      <w:autoSpaceDE w:val="0"/>
      <w:autoSpaceDN w:val="0"/>
      <w:adjustRightInd w:val="0"/>
      <w:spacing w:before="340" w:after="330"/>
    </w:pPr>
    <w:rPr>
      <w:rFonts w:hAnsi="Times New Roman" w:eastAsia="黑体" w:cs="Times New Roman"/>
      <w:bCs w:val="0"/>
      <w:sz w:val="44"/>
    </w:rPr>
  </w:style>
  <w:style w:type="paragraph" w:customStyle="1" w:styleId="134">
    <w:name w:val="样式1"/>
    <w:basedOn w:val="1"/>
    <w:link w:val="151"/>
    <w:qFormat/>
    <w:uiPriority w:val="0"/>
    <w:pPr>
      <w:suppressAutoHyphens/>
      <w:autoSpaceDE w:val="0"/>
      <w:autoSpaceDN w:val="0"/>
      <w:adjustRightInd w:val="0"/>
      <w:spacing w:line="360" w:lineRule="auto"/>
      <w:ind w:left="161" w:leftChars="67" w:firstLine="566" w:firstLineChars="236"/>
      <w:jc w:val="left"/>
    </w:pPr>
    <w:rPr>
      <w:rFonts w:ascii="宋体" w:hAnsi="宋体" w:eastAsia="宋体" w:cs="Times New Roman"/>
      <w:kern w:val="1"/>
      <w:sz w:val="24"/>
      <w:szCs w:val="24"/>
      <w:lang w:eastAsia="ar-SA"/>
    </w:rPr>
  </w:style>
  <w:style w:type="paragraph" w:customStyle="1" w:styleId="135">
    <w:name w:val="MM Topic 1"/>
    <w:basedOn w:val="2"/>
    <w:qFormat/>
    <w:uiPriority w:val="0"/>
    <w:pPr>
      <w:numPr>
        <w:numId w:val="5"/>
      </w:numPr>
      <w:tabs>
        <w:tab w:val="left" w:pos="425"/>
      </w:tabs>
      <w:autoSpaceDE w:val="0"/>
      <w:autoSpaceDN w:val="0"/>
      <w:adjustRightInd w:val="0"/>
      <w:spacing w:before="340" w:after="330" w:line="578" w:lineRule="auto"/>
    </w:pPr>
    <w:rPr>
      <w:rFonts w:hAnsi="Times New Roman" w:eastAsia="黑体" w:cs="Times New Roman"/>
      <w:bCs w:val="0"/>
      <w:sz w:val="44"/>
    </w:rPr>
  </w:style>
  <w:style w:type="paragraph" w:customStyle="1" w:styleId="136">
    <w:name w:val="正文lr"/>
    <w:basedOn w:val="106"/>
    <w:qFormat/>
    <w:uiPriority w:val="0"/>
    <w:pPr>
      <w:numPr>
        <w:ilvl w:val="0"/>
        <w:numId w:val="6"/>
      </w:numPr>
      <w:tabs>
        <w:tab w:val="left" w:pos="360"/>
        <w:tab w:val="clear" w:pos="1620"/>
      </w:tabs>
      <w:suppressAutoHyphens/>
      <w:autoSpaceDE w:val="0"/>
      <w:autoSpaceDN w:val="0"/>
      <w:adjustRightInd w:val="0"/>
      <w:ind w:left="432" w:leftChars="171" w:hanging="432" w:firstLineChars="200"/>
      <w:jc w:val="left"/>
    </w:pPr>
    <w:rPr>
      <w:rFonts w:cs="宋体"/>
      <w:kern w:val="1"/>
      <w:szCs w:val="20"/>
      <w:lang w:eastAsia="ar-SA"/>
    </w:rPr>
  </w:style>
  <w:style w:type="paragraph" w:customStyle="1" w:styleId="137">
    <w:name w:val="bianhao1"/>
    <w:basedOn w:val="106"/>
    <w:link w:val="139"/>
    <w:qFormat/>
    <w:uiPriority w:val="0"/>
    <w:pPr>
      <w:tabs>
        <w:tab w:val="left" w:pos="420"/>
        <w:tab w:val="left" w:pos="720"/>
      </w:tabs>
      <w:suppressAutoHyphens/>
      <w:autoSpaceDE w:val="0"/>
      <w:autoSpaceDN w:val="0"/>
      <w:adjustRightInd w:val="0"/>
      <w:ind w:left="720" w:leftChars="0" w:hanging="360" w:firstLineChars="0"/>
      <w:jc w:val="left"/>
    </w:pPr>
    <w:rPr>
      <w:kern w:val="1"/>
      <w:lang w:eastAsia="ar-SA"/>
    </w:rPr>
  </w:style>
  <w:style w:type="paragraph" w:customStyle="1" w:styleId="138">
    <w:name w:val="kuang"/>
    <w:basedOn w:val="106"/>
    <w:qFormat/>
    <w:uiPriority w:val="0"/>
    <w:pPr>
      <w:numPr>
        <w:ilvl w:val="0"/>
        <w:numId w:val="7"/>
      </w:numPr>
      <w:tabs>
        <w:tab w:val="left" w:pos="360"/>
        <w:tab w:val="clear" w:pos="1259"/>
      </w:tabs>
      <w:suppressAutoHyphens/>
      <w:autoSpaceDE w:val="0"/>
      <w:autoSpaceDN w:val="0"/>
      <w:adjustRightInd w:val="0"/>
      <w:ind w:left="0" w:leftChars="0" w:firstLine="0" w:firstLineChars="0"/>
      <w:jc w:val="left"/>
    </w:pPr>
    <w:rPr>
      <w:b/>
      <w:kern w:val="1"/>
      <w:lang w:eastAsia="ar-SA"/>
    </w:rPr>
  </w:style>
  <w:style w:type="character" w:customStyle="1" w:styleId="139">
    <w:name w:val="bianhao1 Char"/>
    <w:link w:val="137"/>
    <w:qFormat/>
    <w:uiPriority w:val="0"/>
    <w:rPr>
      <w:rFonts w:ascii="Times New Roman" w:hAnsi="Times New Roman" w:eastAsia="宋体" w:cs="Times New Roman"/>
      <w:kern w:val="1"/>
      <w:sz w:val="24"/>
      <w:szCs w:val="24"/>
      <w:lang w:eastAsia="ar-SA"/>
    </w:rPr>
  </w:style>
  <w:style w:type="paragraph" w:customStyle="1" w:styleId="140">
    <w:name w:val="正文首行缩进（绿盟科技）"/>
    <w:basedOn w:val="1"/>
    <w:qFormat/>
    <w:uiPriority w:val="0"/>
    <w:pPr>
      <w:widowControl/>
      <w:autoSpaceDE w:val="0"/>
      <w:autoSpaceDN w:val="0"/>
      <w:adjustRightInd w:val="0"/>
      <w:spacing w:after="50" w:line="300" w:lineRule="auto"/>
      <w:ind w:firstLine="200" w:firstLineChars="200"/>
      <w:jc w:val="left"/>
    </w:pPr>
    <w:rPr>
      <w:rFonts w:ascii="Arial" w:hAnsi="Arial" w:eastAsia="宋体" w:cs="Times New Roman"/>
      <w:kern w:val="0"/>
      <w:sz w:val="24"/>
      <w:szCs w:val="21"/>
    </w:rPr>
  </w:style>
  <w:style w:type="paragraph" w:customStyle="1" w:styleId="141">
    <w:name w:val="biaoti2"/>
    <w:basedOn w:val="3"/>
    <w:qFormat/>
    <w:uiPriority w:val="0"/>
    <w:pPr>
      <w:numPr>
        <w:ilvl w:val="0"/>
        <w:numId w:val="0"/>
      </w:numPr>
      <w:autoSpaceDE w:val="0"/>
      <w:autoSpaceDN w:val="0"/>
      <w:spacing w:before="260" w:after="260"/>
      <w:ind w:left="576" w:hanging="576"/>
      <w:jc w:val="left"/>
    </w:pPr>
    <w:rPr>
      <w:rFonts w:ascii="Arial" w:hAnsi="Arial" w:eastAsia="黑体" w:cs="Times New Roman"/>
      <w:bCs w:val="0"/>
      <w:szCs w:val="32"/>
    </w:rPr>
  </w:style>
  <w:style w:type="paragraph" w:customStyle="1" w:styleId="142">
    <w:name w:val="封面标题"/>
    <w:basedOn w:val="1"/>
    <w:qFormat/>
    <w:uiPriority w:val="0"/>
    <w:pPr>
      <w:suppressAutoHyphens/>
      <w:autoSpaceDE w:val="0"/>
      <w:autoSpaceDN w:val="0"/>
      <w:adjustRightInd w:val="0"/>
      <w:spacing w:beforeLines="50" w:line="360" w:lineRule="auto"/>
      <w:jc w:val="center"/>
    </w:pPr>
    <w:rPr>
      <w:rFonts w:ascii="宋体" w:hAnsi="Times New Roman" w:eastAsia="黑体" w:cs="Times New Roman"/>
      <w:bCs/>
      <w:kern w:val="1"/>
      <w:sz w:val="24"/>
      <w:szCs w:val="24"/>
      <w:lang w:eastAsia="ar-SA"/>
    </w:rPr>
  </w:style>
  <w:style w:type="paragraph" w:customStyle="1" w:styleId="143">
    <w:name w:val="小标题"/>
    <w:basedOn w:val="1"/>
    <w:qFormat/>
    <w:uiPriority w:val="0"/>
    <w:pPr>
      <w:numPr>
        <w:ilvl w:val="0"/>
        <w:numId w:val="8"/>
      </w:numPr>
      <w:autoSpaceDE w:val="0"/>
      <w:autoSpaceDN w:val="0"/>
      <w:adjustRightInd w:val="0"/>
      <w:spacing w:before="50" w:line="360" w:lineRule="auto"/>
      <w:jc w:val="left"/>
    </w:pPr>
    <w:rPr>
      <w:rFonts w:ascii="宋体" w:hAnsi="宋体" w:eastAsia="宋体" w:cs="Times New Roman"/>
      <w:b/>
      <w:bCs/>
      <w:kern w:val="0"/>
      <w:sz w:val="24"/>
      <w:szCs w:val="24"/>
    </w:rPr>
  </w:style>
  <w:style w:type="paragraph" w:customStyle="1" w:styleId="144">
    <w:name w:val="Style 宋体 First line:  0.75 cm Line spacing:  1.5 lines"/>
    <w:basedOn w:val="1"/>
    <w:qFormat/>
    <w:uiPriority w:val="0"/>
    <w:pPr>
      <w:widowControl/>
      <w:autoSpaceDE w:val="0"/>
      <w:autoSpaceDN w:val="0"/>
      <w:adjustRightInd w:val="0"/>
      <w:spacing w:before="120" w:after="120" w:line="360" w:lineRule="auto"/>
      <w:ind w:firstLine="425"/>
      <w:jc w:val="left"/>
    </w:pPr>
    <w:rPr>
      <w:rFonts w:ascii="宋体" w:hAnsi="宋体" w:eastAsia="宋体" w:cs="宋体"/>
      <w:kern w:val="0"/>
      <w:sz w:val="22"/>
      <w:lang w:eastAsia="en-US"/>
    </w:rPr>
  </w:style>
  <w:style w:type="paragraph" w:customStyle="1" w:styleId="14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46">
    <w:name w:val="样式 正文文本缩进 + 左  0 字符"/>
    <w:basedOn w:val="18"/>
    <w:qFormat/>
    <w:uiPriority w:val="0"/>
  </w:style>
  <w:style w:type="paragraph" w:customStyle="1" w:styleId="147">
    <w:name w:val="样式 列表编号 3 + 宋体 五号"/>
    <w:basedOn w:val="1"/>
    <w:qFormat/>
    <w:uiPriority w:val="0"/>
    <w:pPr>
      <w:numPr>
        <w:ilvl w:val="0"/>
        <w:numId w:val="9"/>
      </w:numPr>
      <w:autoSpaceDE w:val="0"/>
      <w:autoSpaceDN w:val="0"/>
      <w:adjustRightInd w:val="0"/>
      <w:spacing w:line="360" w:lineRule="auto"/>
      <w:jc w:val="left"/>
    </w:pPr>
    <w:rPr>
      <w:rFonts w:ascii="宋体" w:hAnsi="Times New Roman" w:eastAsia="宋体" w:cs="Times New Roman"/>
      <w:kern w:val="0"/>
      <w:sz w:val="24"/>
      <w:szCs w:val="24"/>
    </w:rPr>
  </w:style>
  <w:style w:type="paragraph" w:customStyle="1" w:styleId="148">
    <w:name w:val="样式 样式 首行缩进:  2 字符 Char + 黑色 Char"/>
    <w:basedOn w:val="1"/>
    <w:link w:val="150"/>
    <w:qFormat/>
    <w:uiPriority w:val="0"/>
    <w:pPr>
      <w:autoSpaceDE w:val="0"/>
      <w:autoSpaceDN w:val="0"/>
      <w:adjustRightInd w:val="0"/>
      <w:spacing w:line="360" w:lineRule="auto"/>
      <w:ind w:firstLine="420"/>
      <w:jc w:val="left"/>
    </w:pPr>
    <w:rPr>
      <w:rFonts w:ascii="Times New Roman" w:hAnsi="宋体" w:eastAsia="宋体" w:cs="Times New Roman"/>
      <w:color w:val="000000"/>
      <w:sz w:val="24"/>
      <w:szCs w:val="24"/>
    </w:rPr>
  </w:style>
  <w:style w:type="paragraph" w:customStyle="1" w:styleId="149">
    <w:name w:val="样式 样式 首行缩进:  2 字符 Char + 黑色"/>
    <w:basedOn w:val="1"/>
    <w:qFormat/>
    <w:uiPriority w:val="0"/>
    <w:pPr>
      <w:numPr>
        <w:ilvl w:val="1"/>
        <w:numId w:val="10"/>
      </w:numPr>
      <w:autoSpaceDE w:val="0"/>
      <w:autoSpaceDN w:val="0"/>
      <w:adjustRightInd w:val="0"/>
      <w:spacing w:line="360" w:lineRule="auto"/>
      <w:ind w:left="840" w:leftChars="175" w:right="-58" w:rightChars="-24"/>
      <w:jc w:val="left"/>
    </w:pPr>
    <w:rPr>
      <w:rFonts w:ascii="宋体" w:hAnsi="Times New Roman" w:eastAsia="宋体" w:cs="宋体"/>
      <w:bCs/>
      <w:color w:val="000000"/>
      <w:kern w:val="0"/>
      <w:sz w:val="24"/>
      <w:szCs w:val="24"/>
    </w:rPr>
  </w:style>
  <w:style w:type="character" w:customStyle="1" w:styleId="150">
    <w:name w:val="样式 样式 首行缩进:  2 字符 Char + 黑色 Char Char"/>
    <w:link w:val="148"/>
    <w:qFormat/>
    <w:uiPriority w:val="0"/>
    <w:rPr>
      <w:rFonts w:ascii="Times New Roman" w:hAnsi="宋体" w:eastAsia="宋体" w:cs="Times New Roman"/>
      <w:color w:val="000000"/>
      <w:sz w:val="24"/>
      <w:szCs w:val="24"/>
    </w:rPr>
  </w:style>
  <w:style w:type="character" w:customStyle="1" w:styleId="151">
    <w:name w:val="样式1 Char"/>
    <w:link w:val="134"/>
    <w:qFormat/>
    <w:uiPriority w:val="0"/>
    <w:rPr>
      <w:rFonts w:ascii="宋体" w:hAnsi="宋体" w:eastAsia="宋体" w:cs="Times New Roman"/>
      <w:kern w:val="1"/>
      <w:sz w:val="24"/>
      <w:szCs w:val="24"/>
      <w:lang w:eastAsia="ar-SA"/>
    </w:rPr>
  </w:style>
  <w:style w:type="paragraph" w:customStyle="1" w:styleId="152">
    <w:name w:val="样式 宋体 五号 行距: 单倍行距"/>
    <w:basedOn w:val="1"/>
    <w:qFormat/>
    <w:uiPriority w:val="0"/>
    <w:pPr>
      <w:autoSpaceDE w:val="0"/>
      <w:autoSpaceDN w:val="0"/>
      <w:adjustRightInd w:val="0"/>
      <w:spacing w:line="360" w:lineRule="auto"/>
      <w:jc w:val="left"/>
      <w:textAlignment w:val="baseline"/>
    </w:pPr>
    <w:rPr>
      <w:rFonts w:ascii="宋体" w:hAnsi="宋体" w:eastAsia="宋体" w:cs="Times New Roman"/>
      <w:kern w:val="0"/>
      <w:sz w:val="24"/>
      <w:szCs w:val="20"/>
    </w:rPr>
  </w:style>
  <w:style w:type="paragraph" w:customStyle="1" w:styleId="153">
    <w:name w:val="Fig"/>
    <w:basedOn w:val="1"/>
    <w:link w:val="154"/>
    <w:qFormat/>
    <w:uiPriority w:val="0"/>
    <w:pPr>
      <w:widowControl/>
      <w:numPr>
        <w:ilvl w:val="0"/>
        <w:numId w:val="11"/>
      </w:numPr>
      <w:autoSpaceDE w:val="0"/>
      <w:autoSpaceDN w:val="0"/>
      <w:adjustRightInd w:val="0"/>
      <w:spacing w:after="120" w:line="360" w:lineRule="auto"/>
      <w:jc w:val="center"/>
    </w:pPr>
    <w:rPr>
      <w:rFonts w:ascii="Arial" w:hAnsi="Arial" w:eastAsia="宋体" w:cs="Arial"/>
      <w:kern w:val="0"/>
      <w:sz w:val="22"/>
    </w:rPr>
  </w:style>
  <w:style w:type="character" w:customStyle="1" w:styleId="154">
    <w:name w:val="Fig Char"/>
    <w:link w:val="153"/>
    <w:qFormat/>
    <w:uiPriority w:val="0"/>
    <w:rPr>
      <w:rFonts w:ascii="Arial" w:hAnsi="Arial" w:eastAsia="宋体" w:cs="Arial"/>
      <w:kern w:val="0"/>
      <w:sz w:val="22"/>
    </w:rPr>
  </w:style>
  <w:style w:type="paragraph" w:customStyle="1" w:styleId="155">
    <w:name w:val="tytytyty Char Char Char Char Char Char Char Char Char Char"/>
    <w:basedOn w:val="1"/>
    <w:link w:val="156"/>
    <w:qFormat/>
    <w:uiPriority w:val="0"/>
    <w:pPr>
      <w:autoSpaceDE w:val="0"/>
      <w:autoSpaceDN w:val="0"/>
      <w:adjustRightInd w:val="0"/>
      <w:spacing w:line="360" w:lineRule="auto"/>
      <w:ind w:firstLine="200" w:firstLineChars="200"/>
      <w:jc w:val="left"/>
    </w:pPr>
    <w:rPr>
      <w:rFonts w:ascii="Times New Roman" w:hAnsi="Times New Roman" w:eastAsia="宋体" w:cs="Times New Roman"/>
      <w:sz w:val="24"/>
      <w:szCs w:val="24"/>
    </w:rPr>
  </w:style>
  <w:style w:type="character" w:customStyle="1" w:styleId="156">
    <w:name w:val="tytytyty Char Char Char Char Char Char Char Char Char Char Char"/>
    <w:link w:val="155"/>
    <w:qFormat/>
    <w:uiPriority w:val="0"/>
    <w:rPr>
      <w:rFonts w:ascii="Times New Roman" w:hAnsi="Times New Roman" w:eastAsia="宋体" w:cs="Times New Roman"/>
      <w:sz w:val="24"/>
      <w:szCs w:val="24"/>
    </w:rPr>
  </w:style>
  <w:style w:type="character" w:customStyle="1" w:styleId="157">
    <w:name w:val="HTML 预设格式 字符"/>
    <w:basedOn w:val="48"/>
    <w:link w:val="39"/>
    <w:qFormat/>
    <w:uiPriority w:val="0"/>
    <w:rPr>
      <w:rFonts w:ascii="宋体" w:hAnsi="宋体" w:eastAsia="宋体" w:cs="Times New Roman"/>
      <w:color w:val="000000"/>
      <w:kern w:val="0"/>
      <w:sz w:val="24"/>
      <w:szCs w:val="24"/>
    </w:rPr>
  </w:style>
  <w:style w:type="paragraph" w:customStyle="1" w:styleId="158">
    <w:name w:val="表格文字"/>
    <w:basedOn w:val="1"/>
    <w:qFormat/>
    <w:uiPriority w:val="0"/>
    <w:pPr>
      <w:autoSpaceDE w:val="0"/>
      <w:autoSpaceDN w:val="0"/>
      <w:adjustRightInd w:val="0"/>
      <w:spacing w:beforeLines="20" w:afterLines="20" w:line="360" w:lineRule="auto"/>
      <w:jc w:val="left"/>
    </w:pPr>
    <w:rPr>
      <w:rFonts w:ascii="宋体" w:hAnsi="Times New Roman" w:eastAsia="宋体" w:cs="Times New Roman"/>
      <w:kern w:val="0"/>
      <w:sz w:val="24"/>
      <w:szCs w:val="24"/>
    </w:rPr>
  </w:style>
  <w:style w:type="paragraph" w:customStyle="1" w:styleId="159">
    <w:name w:val="样式5 Char"/>
    <w:basedOn w:val="1"/>
    <w:qFormat/>
    <w:uiPriority w:val="0"/>
    <w:pPr>
      <w:autoSpaceDE w:val="0"/>
      <w:autoSpaceDN w:val="0"/>
      <w:adjustRightInd w:val="0"/>
      <w:spacing w:line="360" w:lineRule="auto"/>
      <w:ind w:firstLine="200" w:firstLineChars="200"/>
      <w:jc w:val="left"/>
    </w:pPr>
    <w:rPr>
      <w:rFonts w:ascii="宋体" w:hAnsi="宋体" w:eastAsia="宋体" w:cs="Times New Roman"/>
      <w:kern w:val="0"/>
      <w:sz w:val="24"/>
      <w:szCs w:val="24"/>
    </w:rPr>
  </w:style>
  <w:style w:type="paragraph" w:customStyle="1" w:styleId="160">
    <w:name w:val="ISMS报告-正文-首行缩进2格"/>
    <w:basedOn w:val="1"/>
    <w:link w:val="161"/>
    <w:qFormat/>
    <w:uiPriority w:val="0"/>
    <w:pPr>
      <w:widowControl/>
      <w:spacing w:before="60" w:line="360" w:lineRule="auto"/>
      <w:ind w:firstLine="200" w:firstLineChars="200"/>
      <w:jc w:val="left"/>
    </w:pPr>
    <w:rPr>
      <w:rFonts w:ascii="Arial" w:hAnsi="Arial" w:eastAsia="宋体" w:cs="Times New Roman"/>
      <w:kern w:val="0"/>
      <w:sz w:val="24"/>
      <w:szCs w:val="20"/>
    </w:rPr>
  </w:style>
  <w:style w:type="character" w:customStyle="1" w:styleId="161">
    <w:name w:val="ISMS报告-正文-首行缩进2格 Char"/>
    <w:link w:val="160"/>
    <w:qFormat/>
    <w:uiPriority w:val="0"/>
    <w:rPr>
      <w:rFonts w:ascii="Arial" w:hAnsi="Arial" w:eastAsia="宋体" w:cs="Times New Roman"/>
      <w:kern w:val="0"/>
      <w:sz w:val="24"/>
      <w:szCs w:val="20"/>
    </w:rPr>
  </w:style>
  <w:style w:type="paragraph" w:customStyle="1" w:styleId="162">
    <w:name w:val="正正文文2"/>
    <w:basedOn w:val="1"/>
    <w:link w:val="163"/>
    <w:qFormat/>
    <w:uiPriority w:val="0"/>
    <w:pPr>
      <w:spacing w:before="78" w:after="78" w:line="360" w:lineRule="auto"/>
      <w:ind w:firstLine="480" w:firstLineChars="200"/>
    </w:pPr>
    <w:rPr>
      <w:rFonts w:ascii="Times New Roman" w:hAnsi="Times New Roman" w:eastAsia="宋体" w:cs="宋体"/>
      <w:sz w:val="24"/>
      <w:szCs w:val="20"/>
    </w:rPr>
  </w:style>
  <w:style w:type="character" w:customStyle="1" w:styleId="163">
    <w:name w:val="正正文文2 Char"/>
    <w:basedOn w:val="48"/>
    <w:link w:val="162"/>
    <w:qFormat/>
    <w:uiPriority w:val="0"/>
    <w:rPr>
      <w:rFonts w:ascii="Times New Roman" w:hAnsi="Times New Roman" w:eastAsia="宋体" w:cs="宋体"/>
      <w:sz w:val="24"/>
      <w:szCs w:val="20"/>
    </w:rPr>
  </w:style>
  <w:style w:type="paragraph" w:customStyle="1" w:styleId="164">
    <w:name w:val="附录标题"/>
    <w:basedOn w:val="1"/>
    <w:qFormat/>
    <w:uiPriority w:val="0"/>
    <w:pPr>
      <w:widowControl/>
      <w:numPr>
        <w:ilvl w:val="0"/>
        <w:numId w:val="12"/>
      </w:numPr>
      <w:shd w:val="clear" w:color="FFFFFF" w:fill="FFFFFF"/>
      <w:spacing w:beforeLines="50" w:afterLines="50" w:line="360" w:lineRule="auto"/>
      <w:jc w:val="left"/>
      <w:outlineLvl w:val="0"/>
    </w:pPr>
    <w:rPr>
      <w:rFonts w:ascii="黑体" w:hAnsi="Times New Roman" w:eastAsia="黑体" w:cs="Times New Roman"/>
      <w:kern w:val="0"/>
      <w:sz w:val="24"/>
      <w:szCs w:val="24"/>
    </w:rPr>
  </w:style>
  <w:style w:type="paragraph" w:customStyle="1" w:styleId="165">
    <w:name w:val="附录二级条标题"/>
    <w:basedOn w:val="1"/>
    <w:next w:val="1"/>
    <w:qFormat/>
    <w:uiPriority w:val="0"/>
    <w:pPr>
      <w:widowControl/>
      <w:numPr>
        <w:ilvl w:val="3"/>
        <w:numId w:val="12"/>
      </w:numPr>
      <w:overflowPunct w:val="0"/>
      <w:autoSpaceDE w:val="0"/>
      <w:autoSpaceDN w:val="0"/>
      <w:spacing w:line="312" w:lineRule="auto"/>
      <w:textAlignment w:val="baseline"/>
      <w:outlineLvl w:val="3"/>
    </w:pPr>
    <w:rPr>
      <w:rFonts w:ascii="黑体" w:hAnsi="Times New Roman" w:eastAsia="黑体" w:cs="Times New Roman"/>
      <w:kern w:val="21"/>
      <w:sz w:val="24"/>
      <w:szCs w:val="21"/>
    </w:rPr>
  </w:style>
  <w:style w:type="paragraph" w:customStyle="1" w:styleId="166">
    <w:name w:val="附录三级条标题"/>
    <w:basedOn w:val="165"/>
    <w:next w:val="1"/>
    <w:qFormat/>
    <w:uiPriority w:val="0"/>
    <w:pPr>
      <w:numPr>
        <w:ilvl w:val="4"/>
      </w:numPr>
      <w:outlineLvl w:val="4"/>
    </w:pPr>
  </w:style>
  <w:style w:type="paragraph" w:customStyle="1" w:styleId="167">
    <w:name w:val="附录四级条标题"/>
    <w:basedOn w:val="166"/>
    <w:next w:val="1"/>
    <w:qFormat/>
    <w:uiPriority w:val="0"/>
    <w:pPr>
      <w:numPr>
        <w:ilvl w:val="5"/>
      </w:numPr>
      <w:outlineLvl w:val="5"/>
    </w:pPr>
  </w:style>
  <w:style w:type="paragraph" w:customStyle="1" w:styleId="168">
    <w:name w:val="附录五级条标题"/>
    <w:basedOn w:val="167"/>
    <w:next w:val="1"/>
    <w:qFormat/>
    <w:uiPriority w:val="0"/>
    <w:pPr>
      <w:numPr>
        <w:ilvl w:val="6"/>
      </w:numPr>
      <w:outlineLvl w:val="6"/>
    </w:pPr>
  </w:style>
  <w:style w:type="paragraph" w:customStyle="1" w:styleId="169">
    <w:name w:val="样式 附录一级条标题 + 自动设置"/>
    <w:basedOn w:val="1"/>
    <w:qFormat/>
    <w:uiPriority w:val="0"/>
    <w:pPr>
      <w:widowControl/>
      <w:numPr>
        <w:ilvl w:val="2"/>
        <w:numId w:val="12"/>
      </w:numPr>
      <w:overflowPunct w:val="0"/>
      <w:autoSpaceDE w:val="0"/>
      <w:autoSpaceDN w:val="0"/>
      <w:spacing w:line="312" w:lineRule="auto"/>
      <w:ind w:left="0"/>
      <w:jc w:val="left"/>
      <w:textAlignment w:val="baseline"/>
      <w:outlineLvl w:val="2"/>
    </w:pPr>
    <w:rPr>
      <w:rFonts w:ascii="黑体" w:hAnsi="Times New Roman" w:eastAsia="黑体" w:cs="Times New Roman"/>
      <w:bCs/>
      <w:kern w:val="21"/>
      <w:sz w:val="24"/>
      <w:szCs w:val="21"/>
    </w:rPr>
  </w:style>
  <w:style w:type="paragraph" w:customStyle="1" w:styleId="170">
    <w:name w:val="样式 附录章标题 + 自动设置"/>
    <w:basedOn w:val="1"/>
    <w:qFormat/>
    <w:uiPriority w:val="0"/>
    <w:pPr>
      <w:widowControl/>
      <w:numPr>
        <w:ilvl w:val="1"/>
        <w:numId w:val="12"/>
      </w:numPr>
      <w:overflowPunct w:val="0"/>
      <w:autoSpaceDE w:val="0"/>
      <w:spacing w:line="312" w:lineRule="auto"/>
      <w:textAlignment w:val="baseline"/>
      <w:outlineLvl w:val="1"/>
    </w:pPr>
    <w:rPr>
      <w:rFonts w:ascii="黑体" w:hAnsi="Times New Roman" w:eastAsia="黑体" w:cs="Times New Roman"/>
      <w:bCs/>
      <w:kern w:val="21"/>
      <w:sz w:val="24"/>
      <w:szCs w:val="21"/>
    </w:rPr>
  </w:style>
  <w:style w:type="character" w:customStyle="1" w:styleId="171">
    <w:name w:val="列出段落 Char"/>
    <w:basedOn w:val="48"/>
    <w:link w:val="172"/>
    <w:qFormat/>
    <w:locked/>
    <w:uiPriority w:val="34"/>
    <w:rPr>
      <w:szCs w:val="24"/>
    </w:rPr>
  </w:style>
  <w:style w:type="paragraph" w:customStyle="1" w:styleId="172">
    <w:name w:val="列出段落1"/>
    <w:basedOn w:val="1"/>
    <w:link w:val="171"/>
    <w:qFormat/>
    <w:uiPriority w:val="34"/>
    <w:pPr>
      <w:spacing w:line="360" w:lineRule="auto"/>
      <w:ind w:firstLine="420" w:firstLineChars="200"/>
    </w:pPr>
    <w:rPr>
      <w:szCs w:val="24"/>
    </w:rPr>
  </w:style>
  <w:style w:type="character" w:customStyle="1" w:styleId="173">
    <w:name w:val="段 Char"/>
    <w:link w:val="112"/>
    <w:qFormat/>
    <w:locked/>
    <w:uiPriority w:val="99"/>
    <w:rPr>
      <w:rFonts w:ascii="宋体" w:hAnsi="Times New Roman" w:eastAsia="宋体" w:cs="Times New Roman"/>
      <w:kern w:val="0"/>
      <w:szCs w:val="20"/>
    </w:rPr>
  </w:style>
  <w:style w:type="character" w:customStyle="1" w:styleId="174">
    <w:name w:val="正文（奇虎360） Char"/>
    <w:link w:val="175"/>
    <w:qFormat/>
    <w:locked/>
    <w:uiPriority w:val="0"/>
    <w:rPr>
      <w:szCs w:val="21"/>
    </w:rPr>
  </w:style>
  <w:style w:type="paragraph" w:customStyle="1" w:styleId="175">
    <w:name w:val="正文（奇虎360）"/>
    <w:link w:val="174"/>
    <w:qFormat/>
    <w:uiPriority w:val="0"/>
    <w:pPr>
      <w:spacing w:line="300" w:lineRule="auto"/>
    </w:pPr>
    <w:rPr>
      <w:rFonts w:asciiTheme="minorHAnsi" w:hAnsiTheme="minorHAnsi" w:eastAsiaTheme="minorEastAsia" w:cstheme="minorBidi"/>
      <w:kern w:val="2"/>
      <w:sz w:val="21"/>
      <w:szCs w:val="21"/>
      <w:lang w:val="en-US" w:eastAsia="zh-CN" w:bidi="ar-SA"/>
    </w:rPr>
  </w:style>
  <w:style w:type="paragraph" w:customStyle="1" w:styleId="176">
    <w:name w:val="前言、引言标题"/>
    <w:next w:val="1"/>
    <w:qFormat/>
    <w:uiPriority w:val="99"/>
    <w:pPr>
      <w:shd w:val="clear" w:color="FFFFFF" w:fill="FFFFFF"/>
      <w:spacing w:before="640" w:after="560"/>
      <w:jc w:val="center"/>
      <w:outlineLvl w:val="0"/>
    </w:pPr>
    <w:rPr>
      <w:rFonts w:ascii="黑体" w:hAnsi="Times New Roman" w:eastAsia="黑体" w:cs="黑体"/>
      <w:kern w:val="0"/>
      <w:sz w:val="32"/>
      <w:szCs w:val="32"/>
      <w:lang w:val="en-US" w:eastAsia="zh-CN" w:bidi="ar-SA"/>
    </w:rPr>
  </w:style>
  <w:style w:type="paragraph" w:customStyle="1" w:styleId="177">
    <w:name w:val="一级条标题"/>
    <w:basedOn w:val="2"/>
    <w:next w:val="112"/>
    <w:qFormat/>
    <w:uiPriority w:val="99"/>
    <w:pPr>
      <w:keepNext w:val="0"/>
      <w:keepLines w:val="0"/>
      <w:widowControl/>
      <w:numPr>
        <w:numId w:val="0"/>
      </w:numPr>
      <w:spacing w:line="240" w:lineRule="auto"/>
      <w:jc w:val="both"/>
      <w:outlineLvl w:val="2"/>
    </w:pPr>
    <w:rPr>
      <w:rFonts w:ascii="黑体" w:hAnsi="Times New Roman" w:eastAsia="黑体" w:cs="黑体"/>
      <w:b w:val="0"/>
      <w:bCs w:val="0"/>
      <w:kern w:val="0"/>
      <w:sz w:val="21"/>
      <w:szCs w:val="21"/>
    </w:rPr>
  </w:style>
  <w:style w:type="paragraph" w:customStyle="1" w:styleId="178">
    <w:name w:val="二级条标题"/>
    <w:basedOn w:val="177"/>
    <w:next w:val="112"/>
    <w:qFormat/>
    <w:uiPriority w:val="99"/>
    <w:pPr>
      <w:outlineLvl w:val="3"/>
    </w:pPr>
  </w:style>
  <w:style w:type="paragraph" w:customStyle="1" w:styleId="179">
    <w:name w:val="三级条标题"/>
    <w:basedOn w:val="178"/>
    <w:next w:val="112"/>
    <w:qFormat/>
    <w:uiPriority w:val="99"/>
    <w:pPr>
      <w:outlineLvl w:val="4"/>
    </w:pPr>
  </w:style>
  <w:style w:type="paragraph" w:customStyle="1" w:styleId="180">
    <w:name w:val="四级条标题"/>
    <w:basedOn w:val="179"/>
    <w:next w:val="112"/>
    <w:qFormat/>
    <w:uiPriority w:val="99"/>
    <w:pPr>
      <w:outlineLvl w:val="5"/>
    </w:pPr>
  </w:style>
  <w:style w:type="paragraph" w:customStyle="1" w:styleId="181">
    <w:name w:val="五级条标题"/>
    <w:basedOn w:val="180"/>
    <w:next w:val="112"/>
    <w:qFormat/>
    <w:uiPriority w:val="99"/>
    <w:pPr>
      <w:outlineLvl w:val="6"/>
    </w:pPr>
  </w:style>
  <w:style w:type="character" w:customStyle="1" w:styleId="182">
    <w:name w:val="font51"/>
    <w:basedOn w:val="4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77BD2-5192-4D30-9C9E-B3C64F5E754B}">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45</Pages>
  <Words>3812</Words>
  <Characters>21734</Characters>
  <Lines>181</Lines>
  <Paragraphs>50</Paragraphs>
  <TotalTime>23</TotalTime>
  <ScaleCrop>false</ScaleCrop>
  <LinksUpToDate>false</LinksUpToDate>
  <CharactersWithSpaces>25496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2020-03-06T10:02:00Z</dcterms:created>
  <dc:creator>戈义言</dc:creator>
  <cp:lastModifiedBy>E.Y.A</cp:lastModifiedBy>
  <dcterms:modified xsi:type="dcterms:W3CDTF">2020-04-14T01:43:59Z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