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系统维护-物资字典维护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1.一个物资只能对照一个收费项目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（截图1）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一个物资能够对照多个收费项目。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2020年3月20日前完成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医院正在上线三级库，前期维护基础数据需要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3479800" cy="24758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跟踪文件：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6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2020-03-11T07:34:26Z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