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1"/>
      </w:pPr>
      <w:r>
        <w:rPr>
          <w:color w:val="#000000"/>
          <w:rFonts w:ascii="Microsoft YaHei" w:cs="Microsoft YaHei" w:eastAsia="Microsoft YaHei" w:hAnsi="Microsoft YaHei"/>
        </w:rPr>
        <w:t xml:space="preserve">医务科消息提醒</w:t>
      </w:r>
    </w:p>
    <w:p>
      <w:pPr>
        <w:pStyle w:val="ListParagraph"/>
        <w:numPr>
          <w:ilvl w:val="0"/>
          <w:numId w:val="3"/>
        </w:numPr>
      </w:pPr>
      <w:r>
        <w:rPr>
          <w:sz w:val="24"/>
          <w:szCs w:val="24"/>
          <w:rFonts w:ascii="Microsoft YaHei" w:cs="Microsoft YaHei" w:eastAsia="Microsoft YaHei" w:hAnsi="Microsoft YaHei"/>
        </w:rPr>
        <w:t xml:space="preserve">1、消息内容设置框更改为与主界面色调一致的样式</w:t>
      </w:r>
    </w:p>
    <w:p>
      <w:pPr>
        <w:pStyle w:val="ListParagraph"/>
        <w:numPr>
          <w:ilvl w:val="1"/>
          <w:numId w:val="3"/>
        </w:numPr>
      </w:pPr>
    </w:p>
    <w:p>
      <w:pPr>
        <w:ind w:left="350"/>
      </w:pPr>
      <w:r>
        <w:drawing>
          <wp:inline distT="0" distB="0" distL="0" distR="0">
            <wp:extent cx="3762375" cy="3047524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3762375" cy="3047524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</w:pPr>
      <w:r>
        <w:rPr>
          <w:sz w:val="24"/>
          <w:szCs w:val="24"/>
          <w:rFonts w:ascii="Microsoft YaHei" w:cs="Microsoft YaHei" w:eastAsia="Microsoft YaHei" w:hAnsi="Microsoft YaHei"/>
        </w:rPr>
        <w:t xml:space="preserve">2、提醒类型为</w:t>
      </w:r>
      <w:r>
        <w:rPr>
          <w:b w:val="true"/>
          <w:bCs w:val="true"/>
          <w:sz w:val="24"/>
          <w:szCs w:val="24"/>
          <w:rFonts w:ascii="Microsoft YaHei" w:cs="Microsoft YaHei" w:eastAsia="Microsoft YaHei" w:hAnsi="Microsoft YaHei"/>
        </w:rPr>
        <w:t xml:space="preserve">医嘱</w:t>
      </w:r>
      <w:r>
        <w:rPr>
          <w:sz w:val="24"/>
          <w:szCs w:val="24"/>
          <w:rFonts w:ascii="Microsoft YaHei" w:cs="Microsoft YaHei" w:eastAsia="Microsoft YaHei" w:hAnsi="Microsoft YaHei"/>
        </w:rPr>
        <w:t xml:space="preserve">时：</w:t>
      </w:r>
    </w:p>
    <w:p>
      <w:pPr>
        <w:pStyle w:val="ListParagraph"/>
        <w:numPr>
          <w:ilvl w:val="1"/>
          <w:numId w:val="3"/>
        </w:numPr>
      </w:pPr>
      <w:r>
        <w:rPr>
          <w:b w:val="true"/>
          <w:bCs w:val="true"/>
          <w:sz w:val="20"/>
          <w:szCs w:val="20"/>
          <w:rFonts w:ascii="Microsoft YaHei" w:cs="Microsoft YaHei" w:eastAsia="Microsoft YaHei" w:hAnsi="Microsoft YaHei"/>
        </w:rPr>
        <w:t xml:space="preserve">类别分为</w:t>
      </w:r>
      <w:r>
        <w:rPr>
          <w:sz w:val="20"/>
          <w:szCs w:val="20"/>
          <w:rFonts w:ascii="Microsoft YaHei" w:cs="Microsoft YaHei" w:eastAsia="Microsoft YaHei" w:hAnsi="Microsoft YaHei"/>
        </w:rPr>
        <w:t xml:space="preserve">：药品、非药品</w:t>
      </w:r>
    </w:p>
    <w:p>
      <w:pPr>
        <w:ind w:left="350"/>
      </w:pPr>
      <w:r>
        <w:drawing>
          <wp:inline distT="0" distB="0" distL="0" distR="0">
            <wp:extent cx="3810000" cy="3109164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3810000" cy="3109164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1"/>
          <w:numId w:val="3"/>
        </w:numPr>
      </w:pPr>
      <w:r>
        <w:rPr>
          <w:b w:val="true"/>
          <w:bCs w:val="true"/>
          <w:sz w:val="20"/>
          <w:szCs w:val="20"/>
          <w:rFonts w:ascii="Microsoft YaHei" w:cs="Microsoft YaHei" w:eastAsia="Microsoft YaHei" w:hAnsi="Microsoft YaHei"/>
        </w:rPr>
        <w:t xml:space="preserve">具体内容</w:t>
      </w:r>
      <w:r>
        <w:rPr>
          <w:sz w:val="20"/>
          <w:szCs w:val="20"/>
          <w:rFonts w:ascii="Microsoft YaHei" w:cs="Microsoft YaHei" w:eastAsia="Microsoft YaHei" w:hAnsi="Microsoft YaHei"/>
        </w:rPr>
        <w:t xml:space="preserve">：点击空格键----检索药品/非药品项目----选择</w:t>
      </w:r>
    </w:p>
    <w:p>
      <w:pPr>
        <w:ind w:left="350"/>
      </w:pPr>
      <w:r>
        <w:drawing>
          <wp:inline distT="0" distB="0" distL="0" distR="0">
            <wp:extent cx="3810000" cy="2801098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3810000" cy="2801098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1"/>
          <w:numId w:val="3"/>
        </w:numPr>
      </w:pPr>
      <w:r>
        <w:rPr>
          <w:b w:val="true"/>
          <w:bCs w:val="true"/>
          <w:sz w:val="20"/>
          <w:szCs w:val="20"/>
          <w:rFonts w:ascii="Microsoft YaHei" w:cs="Microsoft YaHei" w:eastAsia="Microsoft YaHei" w:hAnsi="Microsoft YaHei"/>
        </w:rPr>
        <w:t xml:space="preserve">模糊匹配</w:t>
      </w:r>
      <w:r>
        <w:rPr>
          <w:sz w:val="20"/>
          <w:szCs w:val="20"/>
          <w:rFonts w:ascii="Microsoft YaHei" w:cs="Microsoft YaHei" w:eastAsia="Microsoft YaHei" w:hAnsi="Microsoft YaHei"/>
        </w:rPr>
        <w:t xml:space="preserve">----输入文本（选中模糊匹配后，具体内容置灰不可选择）</w:t>
      </w:r>
    </w:p>
    <w:p>
      <w:pPr>
        <w:pStyle w:val="ListParagraph"/>
        <w:numPr>
          <w:ilvl w:val="1"/>
          <w:numId w:val="3"/>
        </w:numPr>
      </w:pPr>
      <w:r>
        <w:rPr>
          <w:b w:val="true"/>
          <w:bCs w:val="true"/>
          <w:sz w:val="20"/>
          <w:szCs w:val="20"/>
          <w:rFonts w:ascii="Microsoft YaHei" w:cs="Microsoft YaHei" w:eastAsia="Microsoft YaHei" w:hAnsi="Microsoft YaHei"/>
        </w:rPr>
        <w:t xml:space="preserve">提醒节点</w:t>
      </w:r>
      <w:r>
        <w:rPr>
          <w:sz w:val="20"/>
          <w:szCs w:val="20"/>
          <w:rFonts w:ascii="Microsoft YaHei" w:cs="Microsoft YaHei" w:eastAsia="Microsoft YaHei" w:hAnsi="Microsoft YaHei"/>
        </w:rPr>
        <w:t xml:space="preserve">：保存、提交</w:t>
      </w:r>
    </w:p>
    <w:p>
      <w:pPr>
        <w:pStyle w:val="ListParagraph"/>
        <w:numPr>
          <w:ilvl w:val="0"/>
          <w:numId w:val="3"/>
        </w:numPr>
      </w:pPr>
      <w:r>
        <w:rPr>
          <w:sz w:val="24"/>
          <w:szCs w:val="24"/>
          <w:rFonts w:ascii="Microsoft YaHei" w:cs="Microsoft YaHei" w:eastAsia="Microsoft YaHei" w:hAnsi="Microsoft YaHei"/>
        </w:rPr>
        <w:t xml:space="preserve">3、提醒类型为病历文书时：</w:t>
      </w:r>
    </w:p>
    <w:p>
      <w:pPr>
        <w:pStyle w:val="ListParagraph"/>
        <w:numPr>
          <w:ilvl w:val="1"/>
          <w:numId w:val="3"/>
        </w:numPr>
      </w:pPr>
      <w:r>
        <w:rPr>
          <w:b w:val="true"/>
          <w:bCs w:val="true"/>
          <w:sz w:val="20"/>
          <w:szCs w:val="20"/>
          <w:rFonts w:ascii="Microsoft YaHei" w:cs="Microsoft YaHei" w:eastAsia="Microsoft YaHei" w:hAnsi="Microsoft YaHei"/>
        </w:rPr>
        <w:t xml:space="preserve">类别分为</w:t>
      </w:r>
      <w:r>
        <w:rPr>
          <w:sz w:val="20"/>
          <w:szCs w:val="20"/>
          <w:rFonts w:ascii="Microsoft YaHei" w:cs="Microsoft YaHei" w:eastAsia="Microsoft YaHei" w:hAnsi="Microsoft YaHei"/>
        </w:rPr>
        <w:t xml:space="preserve">：住院记录、病程记录、其他记录等</w:t>
      </w:r>
    </w:p>
    <w:p>
      <w:pPr>
        <w:ind w:left="350"/>
      </w:pPr>
      <w:r>
        <w:drawing>
          <wp:inline distT="0" distB="0" distL="0" distR="0">
            <wp:extent cx="3810000" cy="3066382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3810000" cy="3066382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1"/>
          <w:numId w:val="3"/>
        </w:numPr>
      </w:pPr>
      <w:r>
        <w:rPr>
          <w:b w:val="true"/>
          <w:bCs w:val="true"/>
          <w:sz w:val="20"/>
          <w:szCs w:val="20"/>
          <w:rFonts w:ascii="Microsoft YaHei" w:cs="Microsoft YaHei" w:eastAsia="Microsoft YaHei" w:hAnsi="Microsoft YaHei"/>
        </w:rPr>
        <w:t xml:space="preserve">具体内容</w:t>
      </w:r>
      <w:r>
        <w:rPr>
          <w:sz w:val="20"/>
          <w:szCs w:val="20"/>
          <w:rFonts w:ascii="Microsoft YaHei" w:cs="Microsoft YaHei" w:eastAsia="Microsoft YaHei" w:hAnsi="Microsoft YaHei"/>
        </w:rPr>
        <w:t xml:space="preserve">：住院记录下的入院记录、再次/多次入院记录等、病程记录下的首次病程等</w:t>
      </w:r>
    </w:p>
    <w:p>
      <w:pPr>
        <w:pStyle w:val="ListParagraph"/>
        <w:numPr>
          <w:ilvl w:val="1"/>
          <w:numId w:val="3"/>
        </w:numPr>
      </w:pPr>
      <w:r>
        <w:rPr>
          <w:sz w:val="20"/>
          <w:szCs w:val="20"/>
          <w:rFonts w:ascii="Microsoft YaHei" w:cs="Microsoft YaHei" w:eastAsia="Microsoft YaHei" w:hAnsi="Microsoft YaHei"/>
        </w:rPr>
        <w:t xml:space="preserve">模糊匹配置灰</w:t>
      </w:r>
    </w:p>
    <w:p>
      <w:pPr>
        <w:pStyle w:val="ListParagraph"/>
        <w:numPr>
          <w:ilvl w:val="1"/>
          <w:numId w:val="3"/>
        </w:numPr>
      </w:pPr>
      <w:r>
        <w:rPr>
          <w:b w:val="true"/>
          <w:bCs w:val="true"/>
          <w:sz w:val="20"/>
          <w:szCs w:val="20"/>
          <w:rFonts w:ascii="Microsoft YaHei" w:cs="Microsoft YaHei" w:eastAsia="Microsoft YaHei" w:hAnsi="Microsoft YaHei"/>
        </w:rPr>
        <w:t xml:space="preserve">提醒节点</w:t>
      </w:r>
      <w:r>
        <w:rPr>
          <w:sz w:val="20"/>
          <w:szCs w:val="20"/>
          <w:rFonts w:ascii="Microsoft YaHei" w:cs="Microsoft YaHei" w:eastAsia="Microsoft YaHei" w:hAnsi="Microsoft YaHei"/>
        </w:rPr>
        <w:t xml:space="preserve">：创建、保存、提交、打印</w:t>
      </w:r>
    </w:p>
    <w:p>
      <w:pPr>
        <w:pStyle w:val="ListParagraph"/>
        <w:numPr>
          <w:ilvl w:val="0"/>
          <w:numId w:val="3"/>
        </w:numPr>
      </w:pPr>
      <w:r>
        <w:rPr>
          <w:sz w:val="24"/>
          <w:szCs w:val="24"/>
          <w:rFonts w:ascii="Microsoft YaHei" w:cs="Microsoft YaHei" w:eastAsia="Microsoft YaHei" w:hAnsi="Microsoft YaHei"/>
        </w:rPr>
        <w:t xml:space="preserve">4、列表内容</w:t>
      </w:r>
    </w:p>
    <w:p>
      <w:pPr>
        <w:pStyle w:val="ListParagraph"/>
        <w:numPr>
          <w:ilvl w:val="1"/>
          <w:numId w:val="3"/>
        </w:numPr>
      </w:pPr>
    </w:p>
    <w:p>
      <w:pPr>
        <w:ind w:left="350"/>
      </w:pPr>
      <w:r>
        <w:drawing>
          <wp:inline distT="0" distB="0" distL="0" distR="0">
            <wp:extent cx="3810000" cy="302106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3810000" cy="302106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lvlText w:val="●"/>
      <w:pPr>
        <w:ind w:left="0" w:hanging="200"/>
        <w:spacing w:before="100" w:after="100"/>
      </w:pPr>
    </w:lvl>
    <w:lvl w:ilvl="1" w15:tentative="1">
      <w:start w:val="1"/>
      <w:lvlJc w:val="start"/>
      <w:lvlText w:val="●"/>
      <w:pPr>
        <w:ind w:left="350" w:hanging="200"/>
        <w:spacing w:before="100" w:after="100"/>
      </w:pPr>
    </w:lvl>
    <w:lvl w:ilvl="2" w15:tentative="1">
      <w:start w:val="1"/>
      <w:lvlJc w:val="start"/>
      <w:lvlText w:val="●"/>
      <w:pPr>
        <w:ind w:left="700" w:hanging="200"/>
        <w:spacing w:before="100" w:after="100"/>
      </w:pPr>
    </w:lvl>
    <w:lvl w:ilvl="3" w15:tentative="1">
      <w:start w:val="1"/>
      <w:lvlJc w:val="start"/>
      <w:lvlText w:val="●"/>
      <w:pPr>
        <w:ind w:left="1050" w:hanging="200"/>
        <w:spacing w:before="100" w:after="100"/>
      </w:pPr>
    </w:lvl>
    <w:lvl w:ilvl="4" w15:tentative="1">
      <w:start w:val="1"/>
      <w:lvlJc w:val="start"/>
      <w:lvlText w:val="●"/>
      <w:pPr>
        <w:ind w:left="1400" w:hanging="200"/>
        <w:spacing w:before="100" w:after="100"/>
      </w:pPr>
    </w:lvl>
    <w:lvl w:ilvl="5" w15:tentative="1">
      <w:start w:val="1"/>
      <w:lvlJc w:val="start"/>
      <w:lvlText w:val="●"/>
      <w:pPr>
        <w:ind w:left="1750" w:hanging="200"/>
        <w:spacing w:before="100" w:after="100"/>
      </w:pPr>
    </w:lvl>
    <w:lvl w:ilvl="6" w15:tentative="1">
      <w:start w:val="1"/>
      <w:lvlJc w:val="start"/>
      <w:lvlText w:val="●"/>
      <w:pPr>
        <w:ind w:left="2100" w:hanging="200"/>
        <w:spacing w:before="100" w:after="100"/>
      </w:pPr>
    </w:lvl>
    <w:lvl w:ilvl="7" w15:tentative="1">
      <w:start w:val="1"/>
      <w:lvlJc w:val="start"/>
      <w:lvlText w:val="●"/>
      <w:pPr>
        <w:ind w:left="2450" w:hanging="200"/>
        <w:spacing w:before="100" w:after="100"/>
      </w:pPr>
    </w:lvl>
    <w:lvl w:ilvl="8" w15:tentative="1">
      <w:start w:val="1"/>
      <w:lvlJc w:val="start"/>
      <w:lvlText w:val="●"/>
      <w:pPr>
        <w:ind w:left="2800" w:hanging="200"/>
        <w:spacing w:before="100" w:after="100"/>
      </w:p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sz w:val="32"/>
      <w:szCs w:val="32"/>
      <w:color w:val="2E74B5"/>
    </w:rPr>
    <w:basedOn w:val="Normal"/>
    <w:next w:val="Normal"/>
    <w:qFormat/>
  </w:style>
  <w:style w:type="paragraph" w:styleId="Heading2">
    <w:name w:val="Heading 2"/>
    <w:rPr>
      <w:sz w:val="26"/>
      <w:szCs w:val="26"/>
      <w:color w:val="2E74B5"/>
    </w:rPr>
    <w:basedOn w:val="Normal"/>
    <w:next w:val="Normal"/>
    <w:qFormat/>
  </w:style>
  <w:style w:type="paragraph" w:styleId="Heading3">
    <w:name w:val="Heading 3"/>
    <w:rPr>
      <w:sz w:val="24"/>
      <w:szCs w:val="24"/>
      <w:color w:val="1F4D78"/>
    </w:rPr>
    <w:basedOn w:val="Normal"/>
    <w:next w:val="Normal"/>
    <w:qFormat/>
  </w:style>
  <w:style w:type="paragraph" w:styleId="Heading4">
    <w:name w:val="Heading 4"/>
    <w:rPr>
      <w:i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xieth260ydlcywemw8sg6h.png"/><Relationship Id="rId8" Type="http://schemas.openxmlformats.org/officeDocument/2006/relationships/image" Target="media/xtyx8anp4v7grvlffp5lb.png"/><Relationship Id="rId9" Type="http://schemas.openxmlformats.org/officeDocument/2006/relationships/image" Target="media/4ya7wm8u1cnrt2ydg9o5g.png"/><Relationship Id="rId10" Type="http://schemas.openxmlformats.org/officeDocument/2006/relationships/image" Target="media/7rjozhgj2ol15n1d3ynco.png"/><Relationship Id="rId11" Type="http://schemas.openxmlformats.org/officeDocument/2006/relationships/image" Target="media/0cqvcum5as0jw2f7xxe7y3q.png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医务科消息提醒</dc:title>
  <dcterms:created xsi:type="dcterms:W3CDTF">2023-07-26T11:26:46Z</dcterms:created>
  <dcterms:modified xsi:type="dcterms:W3CDTF">2023-07-26T11:26:46Z</dcterms:modified>
</cp:coreProperties>
</file>