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2"/>
        </w:numPr>
        <w:rPr>
          <w:sz w:val="21"/>
          <w:szCs w:val="21"/>
        </w:rPr>
      </w:pPr>
      <w:bookmarkStart w:id="0" w:name="_Toc73546574"/>
      <w:r>
        <w:rPr>
          <w:rFonts w:hint="eastAsia"/>
          <w:sz w:val="21"/>
          <w:szCs w:val="21"/>
        </w:rPr>
        <w:t>体检收费流程</w:t>
      </w:r>
      <w:bookmarkEnd w:id="0"/>
    </w:p>
    <w:p>
      <w:pPr>
        <w:pStyle w:val="3"/>
        <w:numPr>
          <w:ilvl w:val="2"/>
          <w:numId w:val="2"/>
        </w:numPr>
        <w:rPr>
          <w:rFonts w:ascii="宋体" w:hAnsi="宋体"/>
          <w:sz w:val="21"/>
          <w:szCs w:val="21"/>
        </w:rPr>
      </w:pPr>
      <w:bookmarkStart w:id="1" w:name="_Toc73546575"/>
      <w:r>
        <w:rPr>
          <w:rFonts w:hint="eastAsia" w:ascii="宋体" w:hAnsi="宋体"/>
          <w:sz w:val="21"/>
          <w:szCs w:val="21"/>
        </w:rPr>
        <w:t>流程图</w:t>
      </w:r>
      <w:bookmarkEnd w:id="1"/>
      <w:r>
        <w:rPr>
          <w:rFonts w:ascii="宋体" w:hAnsi="宋体"/>
          <w:sz w:val="21"/>
          <w:szCs w:val="21"/>
        </w:rPr>
        <w:tab/>
      </w:r>
    </w:p>
    <w:p>
      <w:pPr>
        <w:ind w:left="567" w:leftChars="270"/>
        <w:rPr>
          <w:rFonts w:hint="eastAsia"/>
        </w:rPr>
      </w:pPr>
      <w:bookmarkStart w:id="6" w:name="_GoBack"/>
      <w:r>
        <w:object>
          <v:shape id="_x0000_i1025" o:spt="75" type="#_x0000_t75" style="height:424.6pt;width:444.25pt;" o:ole="t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End w:id="6"/>
    </w:p>
    <w:p>
      <w:pPr>
        <w:pStyle w:val="3"/>
        <w:numPr>
          <w:ilvl w:val="2"/>
          <w:numId w:val="2"/>
        </w:numPr>
        <w:rPr>
          <w:rFonts w:ascii="宋体" w:hAnsi="宋体"/>
          <w:sz w:val="21"/>
          <w:szCs w:val="21"/>
        </w:rPr>
      </w:pPr>
      <w:bookmarkStart w:id="2" w:name="_Toc73546576"/>
      <w:r>
        <w:rPr>
          <w:rFonts w:hint="eastAsia" w:ascii="宋体" w:hAnsi="宋体"/>
          <w:sz w:val="21"/>
          <w:szCs w:val="21"/>
        </w:rPr>
        <w:t>流程说明</w:t>
      </w:r>
      <w:bookmarkEnd w:id="2"/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参保人身份认证</w:t>
      </w:r>
      <w:r>
        <w:rPr>
          <w:rFonts w:hint="eastAsia" w:ascii="宋体" w:hAnsi="宋体"/>
        </w:rPr>
        <w:t>：同2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普通门诊收费流程；</w:t>
      </w:r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体检挂号</w:t>
      </w:r>
      <w:r>
        <w:rPr>
          <w:rFonts w:hint="eastAsia" w:ascii="宋体" w:hAnsi="宋体"/>
        </w:rPr>
        <w:t>：调用医保提供的“通用登记”服务发起体检挂号申请，【医疗就诊方式</w:t>
      </w:r>
      <w:r>
        <w:rPr>
          <w:rFonts w:hint="eastAsia" w:ascii="宋体" w:hAnsi="宋体" w:cs="宋体"/>
          <w:kern w:val="0"/>
          <w:szCs w:val="21"/>
          <w:lang w:bidi="ar"/>
        </w:rPr>
        <w:t>】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 w:bidi="ar"/>
        </w:rPr>
        <w:t>AKA078填写“60”</w:t>
      </w:r>
      <w:r>
        <w:rPr>
          <w:rFonts w:hint="eastAsia" w:ascii="宋体" w:hAnsi="宋体" w:cs="宋体"/>
          <w:kern w:val="0"/>
          <w:szCs w:val="21"/>
          <w:lang w:bidi="ar"/>
        </w:rPr>
        <w:t>，【医疗类别】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 w:bidi="ar"/>
        </w:rPr>
        <w:t>AKA130填写“A1”</w:t>
      </w:r>
      <w:r>
        <w:rPr>
          <w:rFonts w:hint="eastAsia" w:ascii="宋体" w:hAnsi="宋体" w:cs="宋体"/>
          <w:kern w:val="0"/>
          <w:szCs w:val="21"/>
          <w:lang w:bidi="ar"/>
        </w:rPr>
        <w:t>；</w:t>
      </w:r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开具体检处方</w:t>
      </w:r>
      <w:r>
        <w:rPr>
          <w:rFonts w:hint="eastAsia" w:ascii="宋体" w:hAnsi="宋体"/>
        </w:rPr>
        <w:t>：同2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普通门诊收费流程；</w:t>
      </w:r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结算明细上传</w:t>
      </w:r>
      <w:r>
        <w:rPr>
          <w:rFonts w:hint="eastAsia" w:ascii="宋体" w:hAnsi="宋体"/>
        </w:rPr>
        <w:t>：同2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普通门诊收费流程；</w:t>
      </w:r>
      <w:r>
        <w:rPr>
          <w:rFonts w:hint="eastAsia" w:ascii="宋体" w:hAnsi="宋体"/>
          <w:lang w:val="en-US" w:eastAsia="zh-CN"/>
        </w:rPr>
        <w:t>其中明细项目只传一条体检费</w:t>
      </w:r>
      <w:r>
        <w:rPr>
          <w:rFonts w:hint="eastAsia" w:ascii="宋体" w:hAnsi="宋体"/>
          <w:color w:val="FF0000"/>
          <w:lang w:val="en-US" w:eastAsia="zh-CN"/>
        </w:rPr>
        <w:t>“001105000010000-110500001”</w:t>
      </w:r>
      <w:r>
        <w:rPr>
          <w:rFonts w:hint="eastAsia" w:ascii="宋体" w:hAnsi="宋体"/>
          <w:lang w:val="en-US" w:eastAsia="zh-CN"/>
        </w:rPr>
        <w:t>，将体检总费用填入这条项目；诊断编码填写</w:t>
      </w:r>
      <w:r>
        <w:rPr>
          <w:rFonts w:hint="eastAsia" w:ascii="宋体" w:hAnsi="宋体"/>
          <w:color w:val="FF0000"/>
          <w:lang w:val="en-US" w:eastAsia="zh-CN"/>
        </w:rPr>
        <w:t>“Z00.800”</w:t>
      </w:r>
      <w:r>
        <w:rPr>
          <w:rFonts w:hint="eastAsia" w:ascii="宋体" w:hAnsi="宋体"/>
          <w:lang w:val="en-US" w:eastAsia="zh-CN"/>
        </w:rPr>
        <w:t>，诊断名称</w:t>
      </w:r>
      <w:r>
        <w:rPr>
          <w:rFonts w:hint="eastAsia" w:ascii="宋体" w:hAnsi="宋体"/>
          <w:color w:val="FF0000"/>
          <w:lang w:val="en-US" w:eastAsia="zh-CN"/>
        </w:rPr>
        <w:t>“一般性检查，其他的”；</w:t>
      </w:r>
    </w:p>
    <w:p>
      <w:pPr>
        <w:numPr>
          <w:ilvl w:val="0"/>
          <w:numId w:val="3"/>
        </w:numPr>
        <w:spacing w:line="360" w:lineRule="auto"/>
        <w:ind w:left="1701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收费结算</w:t>
      </w:r>
      <w:r>
        <w:rPr>
          <w:rFonts w:hint="eastAsia" w:ascii="宋体" w:hAnsi="宋体"/>
        </w:rPr>
        <w:t>：调用医保提供的“通用收费”服务发起收费申请, 【医疗就诊方式</w:t>
      </w:r>
      <w:r>
        <w:rPr>
          <w:rFonts w:hint="eastAsia" w:ascii="宋体" w:hAnsi="宋体" w:cs="宋体"/>
          <w:kern w:val="0"/>
          <w:szCs w:val="21"/>
          <w:lang w:bidi="ar"/>
        </w:rPr>
        <w:t>】、【医疗类别】填写规则与体检挂号相同,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即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 w:bidi="ar"/>
        </w:rPr>
        <w:t>AKA078填写“60”，AKA130填写“A1”；</w:t>
      </w:r>
      <w:r>
        <w:rPr>
          <w:rFonts w:hint="eastAsia" w:ascii="宋体" w:hAnsi="宋体"/>
        </w:rPr>
        <w:t>【结算方式】提供预结算、结算（体检结算）二种方式（参照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 \l "_流程说明" </w:instrText>
      </w:r>
      <w:r>
        <w:rPr>
          <w:rFonts w:ascii="宋体" w:hAnsi="宋体"/>
        </w:rPr>
        <w:fldChar w:fldCharType="separate"/>
      </w:r>
      <w:r>
        <w:rPr>
          <w:rStyle w:val="6"/>
          <w:rFonts w:hint="eastAsia" w:ascii="宋体" w:hAnsi="宋体"/>
          <w:color w:val="auto"/>
        </w:rPr>
        <w:t>2</w:t>
      </w:r>
      <w:r>
        <w:rPr>
          <w:rStyle w:val="6"/>
          <w:rFonts w:ascii="宋体" w:hAnsi="宋体"/>
          <w:color w:val="auto"/>
        </w:rPr>
        <w:t>.1</w:t>
      </w:r>
      <w:r>
        <w:rPr>
          <w:rStyle w:val="6"/>
          <w:rFonts w:hint="eastAsia" w:ascii="宋体" w:hAnsi="宋体"/>
          <w:color w:val="auto"/>
        </w:rPr>
        <w:t>总体收费业务流程</w:t>
      </w:r>
      <w:bookmarkStart w:id="3" w:name="_Hlt17305540"/>
      <w:bookmarkStart w:id="4" w:name="_Hlt17305539"/>
      <w:r>
        <w:rPr>
          <w:rStyle w:val="6"/>
          <w:rFonts w:hint="eastAsia" w:ascii="宋体" w:hAnsi="宋体"/>
          <w:color w:val="auto"/>
        </w:rPr>
        <w:t>中</w:t>
      </w:r>
      <w:bookmarkEnd w:id="3"/>
      <w:bookmarkEnd w:id="4"/>
      <w:r>
        <w:rPr>
          <w:rStyle w:val="6"/>
          <w:rFonts w:hint="eastAsia" w:ascii="宋体" w:hAnsi="宋体"/>
          <w:color w:val="auto"/>
        </w:rPr>
        <w:t>2</w:t>
      </w:r>
      <w:r>
        <w:rPr>
          <w:rStyle w:val="6"/>
          <w:rFonts w:ascii="宋体" w:hAnsi="宋体"/>
          <w:color w:val="auto"/>
        </w:rPr>
        <w:t>.1.2</w:t>
      </w:r>
      <w:r>
        <w:rPr>
          <w:rStyle w:val="6"/>
          <w:rFonts w:hint="eastAsia" w:ascii="宋体" w:hAnsi="宋体"/>
          <w:color w:val="auto"/>
        </w:rPr>
        <w:t>流程说明</w: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>）；</w:t>
      </w:r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交易对账</w:t>
      </w:r>
      <w:r>
        <w:rPr>
          <w:rFonts w:hint="eastAsia" w:ascii="宋体" w:hAnsi="宋体"/>
        </w:rPr>
        <w:t>：同2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普通门诊收费流程；</w:t>
      </w:r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冲正交易</w:t>
      </w:r>
      <w:r>
        <w:rPr>
          <w:rFonts w:hint="eastAsia" w:ascii="宋体" w:hAnsi="宋体"/>
        </w:rPr>
        <w:t>：同2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普通门诊收费流程；</w:t>
      </w:r>
    </w:p>
    <w:p>
      <w:pPr>
        <w:numPr>
          <w:ilvl w:val="0"/>
          <w:numId w:val="3"/>
        </w:numPr>
        <w:spacing w:line="360" w:lineRule="auto"/>
        <w:ind w:left="1701"/>
        <w:rPr>
          <w:rFonts w:ascii="宋体" w:hAnsi="宋体"/>
        </w:rPr>
      </w:pPr>
      <w:r>
        <w:rPr>
          <w:rFonts w:hint="eastAsia" w:ascii="宋体" w:hAnsi="宋体"/>
          <w:b/>
          <w:bCs/>
        </w:rPr>
        <w:t>发票打印</w:t>
      </w:r>
      <w:r>
        <w:rPr>
          <w:rFonts w:hint="eastAsia" w:ascii="宋体" w:hAnsi="宋体"/>
        </w:rPr>
        <w:t>：同2</w:t>
      </w:r>
      <w:r>
        <w:rPr>
          <w:rFonts w:ascii="宋体" w:hAnsi="宋体"/>
        </w:rPr>
        <w:t>.2</w:t>
      </w:r>
      <w:r>
        <w:rPr>
          <w:rFonts w:hint="eastAsia" w:ascii="宋体" w:hAnsi="宋体"/>
        </w:rPr>
        <w:t>普通门诊收费流程。</w:t>
      </w:r>
    </w:p>
    <w:p>
      <w:pPr>
        <w:pStyle w:val="3"/>
        <w:numPr>
          <w:ilvl w:val="2"/>
          <w:numId w:val="2"/>
        </w:numPr>
        <w:rPr>
          <w:rFonts w:ascii="宋体" w:hAnsi="宋体"/>
          <w:sz w:val="21"/>
          <w:szCs w:val="21"/>
        </w:rPr>
      </w:pPr>
      <w:bookmarkStart w:id="5" w:name="_Toc73546577"/>
      <w:r>
        <w:rPr>
          <w:rFonts w:hint="eastAsia" w:ascii="宋体" w:hAnsi="宋体"/>
          <w:sz w:val="21"/>
          <w:szCs w:val="21"/>
        </w:rPr>
        <w:t>规则说明</w:t>
      </w:r>
      <w:bookmarkEnd w:id="5"/>
    </w:p>
    <w:p>
      <w:pPr>
        <w:autoSpaceDE w:val="0"/>
        <w:autoSpaceDN w:val="0"/>
        <w:adjustRightInd w:val="0"/>
        <w:spacing w:line="360" w:lineRule="auto"/>
        <w:ind w:left="1560" w:leftChars="708" w:hanging="73" w:hangingChars="35"/>
        <w:jc w:val="left"/>
        <w:rPr>
          <w:rFonts w:hint="eastAsia" w:ascii="宋体" w:hAnsi="宋体"/>
        </w:rPr>
      </w:pPr>
      <w:r>
        <w:rPr>
          <w:rFonts w:hint="eastAsia"/>
        </w:rPr>
        <w:t>跨年度体检有冲销或未及时结算上年度费用时，在收费结算时需按实际收费日期上传。</w:t>
      </w:r>
      <w:r>
        <w:rPr>
          <w:rFonts w:hint="eastAsia" w:ascii="宋体" w:hAnsi="宋体"/>
          <w:szCs w:val="21"/>
        </w:rPr>
        <w:t>规则如下</w:t>
      </w:r>
      <w:r>
        <w:rPr>
          <w:rFonts w:hint="eastAsia"/>
        </w:rPr>
        <w:t>：</w:t>
      </w:r>
    </w:p>
    <w:tbl>
      <w:tblPr>
        <w:tblStyle w:val="4"/>
        <w:tblW w:w="7625" w:type="dxa"/>
        <w:tblInd w:w="14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843"/>
        <w:gridCol w:w="1985"/>
        <w:gridCol w:w="1797"/>
        <w:gridCol w:w="14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ind w:left="-141" w:leftChars="-67" w:firstLine="140" w:firstLineChars="67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应用场景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通用明细上传（</w:t>
            </w:r>
            <w:r>
              <w:rPr>
                <w:rFonts w:ascii="宋体" w:hAnsi="宋体"/>
                <w:szCs w:val="21"/>
              </w:rPr>
              <w:t>yb04.07.01.03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通用收费（</w:t>
            </w:r>
            <w:r>
              <w:rPr>
                <w:rFonts w:ascii="宋体" w:hAnsi="宋体"/>
                <w:szCs w:val="21"/>
              </w:rPr>
              <w:t>yb04.07.01.04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akc221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【处方日期】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bkc014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【实际就诊日期】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bke286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【结算标识】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上年度门诊收费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上年度费用明细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实际收费日期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体检结算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bke286填写“2”即可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ind w:left="1418" w:leftChars="675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注：跨年度收费，需医保中心开通后方可进行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22607"/>
    <w:multiLevelType w:val="multilevel"/>
    <w:tmpl w:val="2DC22607"/>
    <w:lvl w:ilvl="0" w:tentative="0">
      <w:start w:val="1"/>
      <w:numFmt w:val="decimal"/>
      <w:lvlText w:val="%1."/>
      <w:lvlJc w:val="left"/>
      <w:pPr>
        <w:ind w:left="850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4AF305E"/>
    <w:multiLevelType w:val="multilevel"/>
    <w:tmpl w:val="74AF30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99768D3"/>
    <w:multiLevelType w:val="multilevel"/>
    <w:tmpl w:val="799768D3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801A4"/>
    <w:rsid w:val="3AE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576"/>
        <w:tab w:val="left" w:pos="814"/>
      </w:tabs>
      <w:spacing w:line="360" w:lineRule="auto"/>
      <w:textAlignment w:val="baseline"/>
      <w:outlineLvl w:val="1"/>
    </w:pPr>
    <w:rPr>
      <w:rFonts w:ascii="宋体" w:hAnsi="宋体"/>
      <w:b/>
      <w:kern w:val="0"/>
      <w:sz w:val="24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after="260" w:line="416" w:lineRule="auto"/>
      <w:outlineLvl w:val="2"/>
    </w:pPr>
    <w:rPr>
      <w:b/>
      <w:bCs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2021-10-26T06:44:00Z</dcterms:created>
  <dc:creator>icll</dc:creator>
  <cp:lastModifiedBy>icll</cp:lastModifiedBy>
  <dcterms:modified xsi:type="dcterms:W3CDTF">2021-10-26T07:21:06Z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1245A1850D664430A5B6B9A92A5178E0</vt:lpwstr>
  </property>
</Properties>
</file>