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CEB668">
      <w:pPr>
        <w:bidi w:val="0"/>
        <w:jc w:val="center"/>
        <w:outlineLvl w:val="9"/>
        <w:rPr>
          <w:rFonts w:hint="eastAsia"/>
          <w:lang w:val="en-US" w:eastAsia="zh-CN"/>
        </w:rPr>
      </w:pPr>
    </w:p>
    <w:p w14:paraId="1799D0E0">
      <w:pPr>
        <w:bidi w:val="0"/>
        <w:jc w:val="center"/>
        <w:outlineLvl w:val="9"/>
        <w:rPr>
          <w:rFonts w:hint="eastAsia"/>
          <w:lang w:val="en-US" w:eastAsia="zh-CN"/>
        </w:rPr>
      </w:pPr>
    </w:p>
    <w:p w14:paraId="59C56836">
      <w:pPr>
        <w:pStyle w:val="3"/>
        <w:bidi w:val="0"/>
        <w:jc w:val="center"/>
        <w:rPr>
          <w:rFonts w:hint="eastAsia" w:ascii="宋体" w:hAnsi="宋体" w:eastAsia="宋体" w:cs="宋体"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sz w:val="40"/>
          <w:szCs w:val="40"/>
          <w:lang w:val="en-US" w:eastAsia="zh-CN"/>
        </w:rPr>
        <w:t>宁化县总院</w:t>
      </w:r>
    </w:p>
    <w:p w14:paraId="25AB7A94">
      <w:pPr>
        <w:jc w:val="center"/>
        <w:rPr>
          <w:rFonts w:hint="eastAsia" w:ascii="Arial" w:hAnsi="Arial" w:eastAsia="黑体" w:cstheme="minorBidi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kern w:val="2"/>
          <w:sz w:val="40"/>
          <w:szCs w:val="40"/>
          <w:lang w:val="en-US" w:eastAsia="zh-CN" w:bidi="ar-SA"/>
        </w:rPr>
        <w:t>VTE系统对接院内三方系统功能需求及方案</w:t>
      </w:r>
    </w:p>
    <w:p w14:paraId="454BA9CF"/>
    <w:p w14:paraId="507998CC">
      <w:pPr>
        <w:numPr>
          <w:numId w:val="0"/>
        </w:numPr>
      </w:pPr>
    </w:p>
    <w:p w14:paraId="6D7FACF7">
      <w:pPr>
        <w:numPr>
          <w:numId w:val="0"/>
        </w:numPr>
      </w:pPr>
      <w:r>
        <w:drawing>
          <wp:inline distT="0" distB="0" distL="114300" distR="114300">
            <wp:extent cx="5273675" cy="3197860"/>
            <wp:effectExtent l="0" t="0" r="1460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9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EB48A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一、医生工作站</w:t>
      </w:r>
    </w:p>
    <w:p w14:paraId="71176688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一、功能需求</w:t>
      </w:r>
    </w:p>
    <w:p w14:paraId="65A1FCF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1、实现一键登录VTE系统</w:t>
      </w:r>
    </w:p>
    <w:p w14:paraId="674F28A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“VTE2.0接口文档V2.0.5”文档，3系统功能模块接口，默认传参数编码modelCode": "1-001；</w:t>
      </w:r>
    </w:p>
    <w:p w14:paraId="7704C03A">
      <w:pPr>
        <w:numPr>
          <w:numId w:val="0"/>
        </w:numP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说明</w:t>
      </w:r>
      <w: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  <w:t>：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在</w:t>
      </w:r>
      <w: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  <w:t>医生工作站，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嵌入【VTE风险评估】模块，医生选中患者点击该按钮，通过打开一个Web页面进入到VTE系统。如下图：</w:t>
      </w:r>
    </w:p>
    <w:p w14:paraId="2084BA81">
      <w:pPr>
        <w:numPr>
          <w:numId w:val="0"/>
        </w:numPr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drawing>
          <wp:inline distT="0" distB="0" distL="114300" distR="114300">
            <wp:extent cx="5266690" cy="3086735"/>
            <wp:effectExtent l="0" t="0" r="6350" b="6985"/>
            <wp:docPr id="2" name="图片 2" descr="174038738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4038738267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8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125D3">
      <w:pPr>
        <w:numPr>
          <w:ilvl w:val="0"/>
          <w:numId w:val="0"/>
        </w:numPr>
        <w:ind w:left="0" w:leftChars="0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VTE风险评估结果显示</w:t>
      </w:r>
    </w:p>
    <w:p w14:paraId="2E60D159"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实现方式：VTE系统通过</w:t>
      </w:r>
      <w:bookmarkStart w:id="0" w:name="_Toc11638"/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“VTE2.0接口文档V2.0.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5</w:t>
      </w: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”文档，2推送患者评估结果</w:t>
      </w:r>
      <w:bookmarkEnd w:id="0"/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接口。VTE——&gt;集成平台——&gt;医生站</w:t>
      </w:r>
    </w:p>
    <w:p w14:paraId="2AA5E38D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说明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评估完成后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在患者列表显示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VTE风险结果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医护即可查看到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患者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最新的评估结果)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。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如上图</w:t>
      </w:r>
    </w:p>
    <w:p w14:paraId="7AFF347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医生工作站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VTE结果显示:</w:t>
      </w:r>
      <w:r>
        <w:rPr>
          <w:rFonts w:hint="default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V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TE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代表VTE，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出血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代表出血，</w:t>
      </w:r>
      <w:r>
        <w:rPr>
          <w:rFonts w:hint="default" w:ascii="宋体" w:hAnsi="宋体" w:eastAsia="宋体" w:cs="宋体"/>
          <w:color w:val="00B050"/>
          <w:kern w:val="2"/>
          <w:sz w:val="24"/>
          <w:szCs w:val="32"/>
          <w:lang w:val="en-US" w:eastAsia="zh-CN" w:bidi="ar-SA"/>
        </w:rPr>
        <w:t>绿色代表低危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default" w:ascii="宋体" w:hAnsi="宋体" w:eastAsia="宋体" w:cs="宋体"/>
          <w:color w:val="EE822F" w:themeColor="accent2"/>
          <w:kern w:val="2"/>
          <w:sz w:val="24"/>
          <w:szCs w:val="32"/>
          <w:lang w:val="en-US" w:eastAsia="zh-CN" w:bidi="ar-SA"/>
          <w14:textFill>
            <w14:solidFill>
              <w14:schemeClr w14:val="accent2"/>
            </w14:solidFill>
          </w14:textFill>
        </w:rPr>
        <w:t>黄色代表中危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default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红色代表高危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/极高危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；样式如下图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：</w:t>
      </w:r>
    </w:p>
    <w:p w14:paraId="47AE4FE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VTE评估结果4种：</w:t>
      </w:r>
      <w:r>
        <w:rPr>
          <w:rFonts w:hint="eastAsia" w:ascii="宋体" w:hAnsi="宋体" w:eastAsia="宋体" w:cs="宋体"/>
          <w:color w:val="00B050"/>
          <w:sz w:val="24"/>
          <w:szCs w:val="32"/>
          <w:lang w:val="en-US" w:eastAsia="zh-CN"/>
        </w:rPr>
        <w:t>低危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color w:val="EE822F" w:themeColor="accent2"/>
          <w:sz w:val="24"/>
          <w:szCs w:val="32"/>
          <w:lang w:val="en-US" w:eastAsia="zh-CN"/>
          <w14:textFill>
            <w14:solidFill>
              <w14:schemeClr w14:val="accent2"/>
            </w14:solidFill>
          </w14:textFill>
        </w:rPr>
        <w:t>中危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高危、</w:t>
      </w:r>
      <w:r>
        <w:rPr>
          <w:rFonts w:hint="eastAsia" w:ascii="宋体" w:hAnsi="宋体" w:eastAsia="宋体" w:cs="宋体"/>
          <w:color w:val="C00000"/>
          <w:sz w:val="24"/>
          <w:szCs w:val="32"/>
          <w:lang w:val="en-US" w:eastAsia="zh-CN"/>
        </w:rPr>
        <w:t>极高危</w:t>
      </w:r>
    </w:p>
    <w:p w14:paraId="4E7CB2F7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出血评估结果2种：</w:t>
      </w:r>
      <w:r>
        <w:rPr>
          <w:rFonts w:hint="eastAsia" w:ascii="宋体" w:hAnsi="宋体" w:eastAsia="宋体" w:cs="宋体"/>
          <w:color w:val="00B050"/>
          <w:sz w:val="24"/>
          <w:szCs w:val="32"/>
          <w:lang w:val="en-US" w:eastAsia="zh-CN"/>
        </w:rPr>
        <w:t>出血低危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出血高危</w:t>
      </w:r>
    </w:p>
    <w:p w14:paraId="564334D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</w:p>
    <w:p w14:paraId="25CA9A5C">
      <w:pPr>
        <w:numPr>
          <w:ilvl w:val="0"/>
          <w:numId w:val="1"/>
        </w:numPr>
        <w:ind w:leftChars="0"/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医嘱卡控：</w:t>
      </w:r>
    </w:p>
    <w:p w14:paraId="74D928BA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通过卡控手段帮助医生在开立医嘱前进行VTE评估结果的强制确认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。</w:t>
      </w:r>
    </w:p>
    <w:p w14:paraId="47EA9500">
      <w:pPr>
        <w:numPr>
          <w:ilvl w:val="0"/>
          <w:numId w:val="0"/>
        </w:numP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住院患者评估节点：入院、术前、术后、转科前、转科后、出院；</w:t>
      </w:r>
    </w:p>
    <w:p w14:paraId="48F1F050">
      <w:pPr>
        <w:numPr>
          <w:ilvl w:val="0"/>
          <w:numId w:val="0"/>
        </w:numPr>
        <w:ind w:leftChars="0" w:firstLine="420" w:firstLineChars="0"/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例如：</w:t>
      </w:r>
    </w:p>
    <w:p w14:paraId="2C2A2B89">
      <w:pPr>
        <w:numPr>
          <w:ilvl w:val="0"/>
          <w:numId w:val="2"/>
        </w:numPr>
        <w:ind w:leftChars="0" w:firstLine="420" w:firstLineChars="0"/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</w:pPr>
      <w:r>
        <w:rPr>
          <w:rFonts w:hint="default" w:ascii="Arial" w:hAnsi="Arial" w:eastAsia="宋体" w:cs="Arial"/>
          <w:kern w:val="2"/>
          <w:sz w:val="24"/>
          <w:szCs w:val="32"/>
          <w:lang w:val="en-US" w:eastAsia="zh-CN" w:bidi="ar-SA"/>
        </w:rPr>
        <w:t>●</w:t>
      </w:r>
      <w:r>
        <w:rPr>
          <w:rFonts w:hint="eastAsia" w:ascii="Arial" w:hAnsi="Arial" w:eastAsia="宋体" w:cs="Arial"/>
          <w:kern w:val="2"/>
          <w:sz w:val="24"/>
          <w:szCs w:val="32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default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入科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内不做提示，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患者入科24小时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之外需弹窗提醒，未进行VTE评估的患者，在下达医嘱时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弹窗提醒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医生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【请对该患者进行VTE风险评估！】，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弹窗可以进行关闭但必须写明关闭原由。</w:t>
      </w:r>
    </w:p>
    <w:p w14:paraId="719DF0C4">
      <w:pPr>
        <w:numPr>
          <w:ilvl w:val="0"/>
          <w:numId w:val="2"/>
        </w:numPr>
        <w:ind w:leftChars="0" w:firstLine="420" w:firstLineChars="0"/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Arial" w:hAnsi="Arial" w:eastAsia="宋体" w:cs="Arial"/>
          <w:kern w:val="2"/>
          <w:sz w:val="24"/>
          <w:szCs w:val="32"/>
          <w:lang w:val="en-US" w:eastAsia="zh-CN" w:bidi="ar-SA"/>
        </w:rPr>
        <w:t>●</w:t>
      </w:r>
      <w:r>
        <w:rPr>
          <w:rFonts w:hint="eastAsia" w:ascii="Arial" w:hAnsi="Arial" w:eastAsia="宋体" w:cs="Arial"/>
          <w:kern w:val="2"/>
          <w:sz w:val="24"/>
          <w:szCs w:val="32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术前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内不做提示，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术前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之外需弹窗提示，未进行VTE评估的患者，在下达医嘱时会进行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弹窗提醒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医生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【请对该患者进行VTE风险评估！】，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弹窗可以进行关闭但必须写明关闭原由。</w:t>
      </w:r>
    </w:p>
    <w:p w14:paraId="22F1FE62">
      <w:pPr>
        <w:numPr>
          <w:ilvl w:val="0"/>
          <w:numId w:val="2"/>
        </w:numPr>
        <w:ind w:left="0" w:leftChars="0" w:firstLine="420" w:firstLineChars="0"/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Arial" w:hAnsi="Arial" w:eastAsia="宋体" w:cs="Arial"/>
          <w:kern w:val="2"/>
          <w:sz w:val="24"/>
          <w:szCs w:val="32"/>
          <w:lang w:val="en-US" w:eastAsia="zh-CN" w:bidi="ar-SA"/>
        </w:rPr>
        <w:t>●</w:t>
      </w:r>
      <w:r>
        <w:rPr>
          <w:rFonts w:hint="eastAsia" w:ascii="Arial" w:hAnsi="Arial" w:eastAsia="宋体" w:cs="Arial"/>
          <w:kern w:val="2"/>
          <w:sz w:val="24"/>
          <w:szCs w:val="32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术后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内不做提示，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术后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之外需弹窗提醒，未进行VTE评估的患者，在下达医嘱时会进行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弹窗提醒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医生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【请对该患者进行VTE风险评估！】，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弹窗可以进行关闭但必须写明关闭原由。</w:t>
      </w:r>
    </w:p>
    <w:p w14:paraId="4959F793">
      <w:pPr>
        <w:numPr>
          <w:ilvl w:val="0"/>
          <w:numId w:val="2"/>
        </w:numPr>
        <w:ind w:left="0" w:leftChars="0" w:firstLine="420" w:firstLineChars="0"/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Arial" w:hAnsi="Arial" w:eastAsia="宋体" w:cs="Arial"/>
          <w:kern w:val="2"/>
          <w:sz w:val="24"/>
          <w:szCs w:val="32"/>
          <w:lang w:val="en-US" w:eastAsia="zh-CN" w:bidi="ar-SA"/>
        </w:rPr>
        <w:t>●</w:t>
      </w:r>
      <w:r>
        <w:rPr>
          <w:rFonts w:hint="eastAsia" w:ascii="Arial" w:hAnsi="Arial" w:eastAsia="宋体" w:cs="Arial"/>
          <w:kern w:val="2"/>
          <w:sz w:val="24"/>
          <w:szCs w:val="32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转科前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内不做提示，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转科前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之外需弹窗提醒，未进行VTE评估的患者，在下达医嘱时会进行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弹窗提醒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医生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【请对该患者进行VTE风险评估！】，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弹窗可以进行关闭但必须写明关闭原由。</w:t>
      </w:r>
    </w:p>
    <w:p w14:paraId="66AC307C">
      <w:pPr>
        <w:numPr>
          <w:ilvl w:val="0"/>
          <w:numId w:val="2"/>
        </w:numPr>
        <w:ind w:left="0" w:leftChars="0" w:firstLine="420" w:firstLineChars="0"/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Arial" w:hAnsi="Arial" w:eastAsia="宋体" w:cs="Arial"/>
          <w:kern w:val="2"/>
          <w:sz w:val="24"/>
          <w:szCs w:val="32"/>
          <w:lang w:val="en-US" w:eastAsia="zh-CN" w:bidi="ar-SA"/>
        </w:rPr>
        <w:t>●</w:t>
      </w:r>
      <w:r>
        <w:rPr>
          <w:rFonts w:hint="eastAsia" w:ascii="Arial" w:hAnsi="Arial" w:eastAsia="宋体" w:cs="Arial"/>
          <w:kern w:val="2"/>
          <w:sz w:val="24"/>
          <w:szCs w:val="32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转科后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内不做提示，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转科后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之外需弹窗提醒，未进行VTE评估的患者，在下达医嘱时会进行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弹窗提醒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医生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【请对该患者进行VTE风险评估！】，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弹窗可以进行关闭但必须写明关闭原由。</w:t>
      </w:r>
    </w:p>
    <w:p w14:paraId="1B59588C">
      <w:pPr>
        <w:numPr>
          <w:ilvl w:val="0"/>
          <w:numId w:val="2"/>
        </w:numPr>
        <w:ind w:left="0" w:leftChars="0" w:firstLine="420" w:firstLineChars="0"/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default" w:ascii="Arial" w:hAnsi="Arial" w:eastAsia="宋体" w:cs="Arial"/>
          <w:kern w:val="2"/>
          <w:sz w:val="24"/>
          <w:szCs w:val="32"/>
          <w:lang w:val="en-US" w:eastAsia="zh-CN" w:bidi="ar-SA"/>
        </w:rPr>
        <w:t>●</w:t>
      </w:r>
      <w:r>
        <w:rPr>
          <w:rFonts w:hint="eastAsia" w:ascii="Arial" w:hAnsi="Arial" w:eastAsia="宋体" w:cs="Arial"/>
          <w:kern w:val="2"/>
          <w:sz w:val="24"/>
          <w:szCs w:val="32"/>
          <w:lang w:val="en-US" w:eastAsia="zh-CN" w:bidi="ar-SA"/>
        </w:rPr>
        <w:t xml:space="preserve"> 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出院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内不做提示，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患者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出院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24小时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之外需弹窗提醒，未进行VTE评估的患者，在下达医嘱时会进行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弹窗提醒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医生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【请对该患者进行VTE风险评估！】，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弹窗可以进行关闭但必须写明关闭原由。如图：</w:t>
      </w:r>
    </w:p>
    <w:p w14:paraId="4BE8B11F">
      <w:pPr>
        <w:numPr>
          <w:numId w:val="0"/>
        </w:numPr>
        <w:jc w:val="center"/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drawing>
          <wp:inline distT="0" distB="0" distL="114300" distR="114300">
            <wp:extent cx="2697480" cy="1554480"/>
            <wp:effectExtent l="0" t="0" r="0" b="0"/>
            <wp:docPr id="3" name="图片 3" descr="1740387940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403879402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0B480">
      <w:pPr>
        <w:pStyle w:val="5"/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br w:type="page"/>
      </w: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二、</w:t>
      </w:r>
      <w:r>
        <w:rPr>
          <w:rFonts w:hint="eastAsia"/>
          <w:lang w:val="en-US" w:eastAsia="zh-CN"/>
        </w:rPr>
        <w:t>移动护理系统</w:t>
      </w:r>
    </w:p>
    <w:p w14:paraId="76D105B1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一、功能需求</w:t>
      </w:r>
    </w:p>
    <w:p w14:paraId="75FEA98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1、实现一键登录VTE系统</w:t>
      </w:r>
    </w:p>
    <w:p w14:paraId="721362C9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“VTE2.0接口文档V2.0.5”文档，3系统功能模块接口，默认传参数编码modelCode": "1-001；</w:t>
      </w:r>
    </w:p>
    <w:p w14:paraId="1A813DC6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说明</w:t>
      </w:r>
      <w: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  <w:t>：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在</w:t>
      </w:r>
      <w: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  <w:t>移动护理系统中，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嵌入【VTE风险评估】模块，护士点击该按钮，通过打开一个Web页面进入到VTE系统。具体嵌入位置需在同信息科确定</w:t>
      </w:r>
    </w:p>
    <w:p w14:paraId="1923CA03">
      <w:pPr>
        <w:numPr>
          <w:ilvl w:val="0"/>
          <w:numId w:val="0"/>
        </w:numPr>
        <w:ind w:left="0" w:leftChars="0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VTE风险评估结果显示</w:t>
      </w:r>
    </w:p>
    <w:p w14:paraId="1468A3DF"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实现方式：VTE系统通过“VTE2.0接口文档V2.0.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5</w:t>
      </w: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”文档，2推送患者评估结果接口。VTE——&gt;集成平台——&gt;移动护理系统</w:t>
      </w:r>
    </w:p>
    <w:p w14:paraId="57A88A8B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说明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评估完成后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在患者列表显示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VTE风险结果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医护即可查看到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患者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最新的评估结果)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。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如上图</w:t>
      </w:r>
    </w:p>
    <w:p w14:paraId="0A49CD3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移动护理系统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VTE结果显示:</w:t>
      </w:r>
      <w:r>
        <w:rPr>
          <w:rFonts w:hint="default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V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TE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代表VTE，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出血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代表出血，</w:t>
      </w:r>
      <w:r>
        <w:rPr>
          <w:rFonts w:hint="default" w:ascii="宋体" w:hAnsi="宋体" w:eastAsia="宋体" w:cs="宋体"/>
          <w:color w:val="00B050"/>
          <w:kern w:val="2"/>
          <w:sz w:val="24"/>
          <w:szCs w:val="32"/>
          <w:lang w:val="en-US" w:eastAsia="zh-CN" w:bidi="ar-SA"/>
        </w:rPr>
        <w:t>绿色代表低危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default" w:ascii="宋体" w:hAnsi="宋体" w:eastAsia="宋体" w:cs="宋体"/>
          <w:color w:val="EE822F" w:themeColor="accent2"/>
          <w:kern w:val="2"/>
          <w:sz w:val="24"/>
          <w:szCs w:val="32"/>
          <w:lang w:val="en-US" w:eastAsia="zh-CN" w:bidi="ar-SA"/>
          <w14:textFill>
            <w14:solidFill>
              <w14:schemeClr w14:val="accent2"/>
            </w14:solidFill>
          </w14:textFill>
        </w:rPr>
        <w:t>黄色代表中危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default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红色代表高危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/极高危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；样式如下图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：</w:t>
      </w:r>
    </w:p>
    <w:p w14:paraId="669B5AC5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VTE评估结果4种：</w:t>
      </w:r>
      <w:r>
        <w:rPr>
          <w:rFonts w:hint="eastAsia" w:ascii="宋体" w:hAnsi="宋体" w:eastAsia="宋体" w:cs="宋体"/>
          <w:b/>
          <w:bCs/>
          <w:color w:val="00B050"/>
          <w:sz w:val="24"/>
          <w:szCs w:val="32"/>
          <w:lang w:val="en-US" w:eastAsia="zh-CN"/>
        </w:rPr>
        <w:t>VTE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EE822F" w:themeColor="accent2"/>
          <w:sz w:val="24"/>
          <w:szCs w:val="32"/>
          <w:lang w:val="en-US" w:eastAsia="zh-CN"/>
          <w14:textFill>
            <w14:solidFill>
              <w14:schemeClr w14:val="accent2"/>
            </w14:solidFill>
          </w14:textFill>
        </w:rPr>
        <w:t>VTE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VTE、</w:t>
      </w:r>
      <w:r>
        <w:rPr>
          <w:rFonts w:hint="eastAsia" w:ascii="宋体" w:hAnsi="宋体" w:eastAsia="宋体" w:cs="宋体"/>
          <w:b/>
          <w:bCs/>
          <w:color w:val="C00000"/>
          <w:sz w:val="24"/>
          <w:szCs w:val="32"/>
          <w:lang w:val="en-US" w:eastAsia="zh-CN"/>
        </w:rPr>
        <w:t>VTE</w:t>
      </w:r>
    </w:p>
    <w:p w14:paraId="78317CCF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出血评估结果2种：</w:t>
      </w:r>
      <w:r>
        <w:rPr>
          <w:rFonts w:hint="eastAsia" w:ascii="宋体" w:hAnsi="宋体" w:eastAsia="宋体" w:cs="宋体"/>
          <w:b/>
          <w:bCs/>
          <w:color w:val="00B050"/>
          <w:sz w:val="24"/>
          <w:szCs w:val="32"/>
          <w:lang w:val="en-US" w:eastAsia="zh-CN"/>
        </w:rPr>
        <w:t>出血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高危</w:t>
      </w:r>
    </w:p>
    <w:p w14:paraId="49DEC87E">
      <w:pPr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br w:type="page"/>
      </w:r>
    </w:p>
    <w:p w14:paraId="58718B26">
      <w:pPr>
        <w:pStyle w:val="5"/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 w:cstheme="minorBidi"/>
          <w:b/>
          <w:kern w:val="2"/>
          <w:sz w:val="28"/>
          <w:szCs w:val="24"/>
          <w:lang w:val="en-US" w:eastAsia="zh-CN" w:bidi="ar-SA"/>
        </w:rPr>
        <w:t>三</w:t>
      </w: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、</w:t>
      </w:r>
      <w:r>
        <w:rPr>
          <w:rFonts w:hint="eastAsia"/>
          <w:lang w:val="en-US" w:eastAsia="zh-CN"/>
        </w:rPr>
        <w:t>EMR系统</w:t>
      </w:r>
    </w:p>
    <w:p w14:paraId="6BA89385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一、功能需求</w:t>
      </w:r>
    </w:p>
    <w:p w14:paraId="76665F7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1、实现一键登录VTE系统</w:t>
      </w:r>
    </w:p>
    <w:p w14:paraId="515A196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“VTE2.0接口文档V2.0.5”文档，3系统功能模块接口，默认传参数编码modelCode": "1-001；</w:t>
      </w:r>
    </w:p>
    <w:p w14:paraId="05D8E1A1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说明</w:t>
      </w:r>
      <w: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  <w:t>：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在</w:t>
      </w:r>
      <w:r>
        <w:rPr>
          <w:rFonts w:hint="eastAsia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  <w:t>EMR病历系统中，会诊记录下方，出院记录上方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嵌入【VTE风险评估】模块，医生点击该按钮，通过打开一个Web页面进入到VTE系统。如下图：</w:t>
      </w:r>
    </w:p>
    <w:p w14:paraId="4FF2D2AB"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</w:p>
    <w:p w14:paraId="6234BA75">
      <w:pPr>
        <w:numPr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3515" cy="2914650"/>
            <wp:effectExtent l="0" t="0" r="9525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FD7F2">
      <w:pPr>
        <w:numPr>
          <w:ilvl w:val="0"/>
          <w:numId w:val="0"/>
        </w:numPr>
        <w:ind w:left="0" w:leftChars="0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VTE风险评估结果显示</w:t>
      </w:r>
    </w:p>
    <w:p w14:paraId="5CF0E06D"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实现方式：VTE系统通过“VTE2.0接口文档V2.0.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5</w:t>
      </w: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”文档，2推送患者评估结果接口。VTE——&gt;集成平台——&gt;EMR系统</w:t>
      </w:r>
    </w:p>
    <w:p w14:paraId="2F1D8EF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说明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评估完成后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在患者列表显示</w:t>
      </w:r>
      <w:r>
        <w:rPr>
          <w:rFonts w:hint="eastAsia" w:ascii="宋体" w:hAnsi="宋体" w:eastAsia="宋体" w:cs="宋体"/>
          <w:color w:val="FF0000"/>
          <w:sz w:val="24"/>
          <w:szCs w:val="32"/>
          <w:lang w:val="en-US" w:eastAsia="zh-CN"/>
        </w:rPr>
        <w:t>VTE风险结果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医护即可查看到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患者</w:t>
      </w:r>
      <w:r>
        <w:rPr>
          <w:rFonts w:hint="eastAsia" w:ascii="宋体" w:hAnsi="宋体" w:eastAsia="宋体" w:cs="宋体"/>
          <w:color w:val="auto"/>
          <w:sz w:val="24"/>
          <w:szCs w:val="32"/>
        </w:rPr>
        <w:t>最新的评估结果)</w:t>
      </w:r>
      <w:r>
        <w:rPr>
          <w:rFonts w:hint="eastAsia" w:ascii="宋体" w:hAnsi="宋体" w:eastAsia="宋体" w:cs="宋体"/>
          <w:color w:val="auto"/>
          <w:sz w:val="24"/>
          <w:szCs w:val="32"/>
          <w:lang w:val="en-US" w:eastAsia="zh-CN"/>
        </w:rPr>
        <w:t>。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  <w:t>如上图</w:t>
      </w:r>
    </w:p>
    <w:p w14:paraId="32CE1C7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EMR系统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VTE结果显示:</w:t>
      </w:r>
      <w:r>
        <w:rPr>
          <w:rFonts w:hint="default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V</w:t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-SA"/>
        </w:rPr>
        <w:t>TE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代表VTE，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出血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代表出血，</w:t>
      </w:r>
      <w:r>
        <w:rPr>
          <w:rFonts w:hint="default" w:ascii="宋体" w:hAnsi="宋体" w:eastAsia="宋体" w:cs="宋体"/>
          <w:color w:val="00B050"/>
          <w:kern w:val="2"/>
          <w:sz w:val="24"/>
          <w:szCs w:val="32"/>
          <w:lang w:val="en-US" w:eastAsia="zh-CN" w:bidi="ar-SA"/>
        </w:rPr>
        <w:t>绿色代表低危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default" w:ascii="宋体" w:hAnsi="宋体" w:eastAsia="宋体" w:cs="宋体"/>
          <w:color w:val="EE822F" w:themeColor="accent2"/>
          <w:kern w:val="2"/>
          <w:sz w:val="24"/>
          <w:szCs w:val="32"/>
          <w:lang w:val="en-US" w:eastAsia="zh-CN" w:bidi="ar-SA"/>
          <w14:textFill>
            <w14:solidFill>
              <w14:schemeClr w14:val="accent2"/>
            </w14:solidFill>
          </w14:textFill>
        </w:rPr>
        <w:t>黄色代表中危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default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红色代表高危</w:t>
      </w:r>
      <w:r>
        <w:rPr>
          <w:rFonts w:hint="eastAsia" w:ascii="宋体" w:hAnsi="宋体" w:eastAsia="宋体" w:cs="宋体"/>
          <w:color w:val="FF0000"/>
          <w:kern w:val="2"/>
          <w:sz w:val="24"/>
          <w:szCs w:val="32"/>
          <w:lang w:val="en-US" w:eastAsia="zh-CN" w:bidi="ar-SA"/>
        </w:rPr>
        <w:t>/极高危</w:t>
      </w:r>
      <w: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  <w:t>；样式如下图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：</w:t>
      </w:r>
    </w:p>
    <w:p w14:paraId="1E54EEF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VTE评估结果4种：</w:t>
      </w:r>
      <w:r>
        <w:rPr>
          <w:rFonts w:hint="eastAsia" w:ascii="宋体" w:hAnsi="宋体" w:eastAsia="宋体" w:cs="宋体"/>
          <w:b/>
          <w:bCs/>
          <w:color w:val="00B050"/>
          <w:sz w:val="24"/>
          <w:szCs w:val="32"/>
          <w:lang w:val="en-US" w:eastAsia="zh-CN"/>
        </w:rPr>
        <w:t>VTE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EE822F" w:themeColor="accent2"/>
          <w:sz w:val="24"/>
          <w:szCs w:val="32"/>
          <w:lang w:val="en-US" w:eastAsia="zh-CN"/>
          <w14:textFill>
            <w14:solidFill>
              <w14:schemeClr w14:val="accent2"/>
            </w14:solidFill>
          </w14:textFill>
        </w:rPr>
        <w:t>VTE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VTE、</w:t>
      </w:r>
      <w:r>
        <w:rPr>
          <w:rFonts w:hint="eastAsia" w:ascii="宋体" w:hAnsi="宋体" w:eastAsia="宋体" w:cs="宋体"/>
          <w:b/>
          <w:bCs/>
          <w:color w:val="C00000"/>
          <w:sz w:val="24"/>
          <w:szCs w:val="32"/>
          <w:lang w:val="en-US" w:eastAsia="zh-CN"/>
        </w:rPr>
        <w:t>VTE</w:t>
      </w:r>
    </w:p>
    <w:p w14:paraId="09389F0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出血评估结果2种：</w:t>
      </w:r>
      <w:r>
        <w:rPr>
          <w:rFonts w:hint="eastAsia" w:ascii="宋体" w:hAnsi="宋体" w:eastAsia="宋体" w:cs="宋体"/>
          <w:b/>
          <w:bCs/>
          <w:color w:val="00B050"/>
          <w:sz w:val="24"/>
          <w:szCs w:val="32"/>
          <w:lang w:val="en-US" w:eastAsia="zh-CN"/>
        </w:rPr>
        <w:t>出血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32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高危</w:t>
      </w:r>
    </w:p>
    <w:p w14:paraId="7E22C53F">
      <w:pP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br w:type="page"/>
      </w:r>
    </w:p>
    <w:p w14:paraId="68A00AC5">
      <w:pPr>
        <w:numPr>
          <w:numId w:val="0"/>
        </w:numPr>
        <w:jc w:val="both"/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</w:p>
    <w:p w14:paraId="205BA70F">
      <w:pPr>
        <w:numPr>
          <w:ilvl w:val="0"/>
          <w:numId w:val="0"/>
        </w:numPr>
        <w:ind w:leftChars="0"/>
        <w:outlineLvl w:val="3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四、集成平台</w:t>
      </w:r>
    </w:p>
    <w:p w14:paraId="66972267">
      <w:pPr>
        <w:numPr>
          <w:ilvl w:val="0"/>
          <w:numId w:val="0"/>
        </w:numPr>
        <w:spacing w:line="360" w:lineRule="auto"/>
        <w:ind w:left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default" w:ascii="Arial" w:hAnsi="Arial" w:eastAsia="宋体" w:cs="Arial"/>
          <w:sz w:val="24"/>
          <w:szCs w:val="32"/>
          <w:lang w:val="en-US" w:eastAsia="zh-CN"/>
        </w:rPr>
        <w:t>●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按照VTE接口服务字段要求提供对应的接口服务文档：</w:t>
      </w:r>
    </w:p>
    <w:p w14:paraId="2A32C286">
      <w:pPr>
        <w:numPr>
          <w:ilvl w:val="0"/>
          <w:numId w:val="0"/>
        </w:numPr>
        <w:spacing w:line="360" w:lineRule="auto"/>
        <w:ind w:leftChars="0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A.数据方式：实时推送（HIS系统—&gt;集成平台—&gt;VTE系统）</w:t>
      </w:r>
    </w:p>
    <w:p w14:paraId="4E14BE6D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提供“VTE2.0接口文档V2.0.5”文档，1患者入院数据信息；</w:t>
      </w:r>
    </w:p>
    <w:p w14:paraId="51C18AA2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提供“VTE2.0接口文档V2.0.5”文档，4用户医护信息；</w:t>
      </w:r>
    </w:p>
    <w:p w14:paraId="58E24BDE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提供“VTE2.0接口文档V2.0.5”文档，7离院患者信息；</w:t>
      </w:r>
    </w:p>
    <w:p w14:paraId="2AE38701">
      <w:pPr>
        <w:numPr>
          <w:ilvl w:val="0"/>
          <w:numId w:val="0"/>
        </w:numPr>
        <w:spacing w:line="360" w:lineRule="auto"/>
        <w:ind w:leftChars="0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B.数据方式：查询（VTE系统—&gt;集成平台）</w:t>
      </w:r>
    </w:p>
    <w:p w14:paraId="6F81E5D2">
      <w:pPr>
        <w:numPr>
          <w:ilvl w:val="0"/>
          <w:numId w:val="3"/>
        </w:numPr>
        <w:spacing w:line="360" w:lineRule="auto"/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提供“VTE2.0接口文档V2.0.5”文档，5患者医嘱信息接口；</w:t>
      </w:r>
    </w:p>
    <w:p w14:paraId="38C2F854"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提供“VTE2.0接口文档V2.0.5”文档，6患者住院费用信息；</w:t>
      </w:r>
    </w:p>
    <w:p w14:paraId="01717DFE">
      <w:pPr>
        <w:numPr>
          <w:ilvl w:val="0"/>
          <w:numId w:val="0"/>
        </w:numPr>
        <w:spacing w:line="360" w:lineRule="auto"/>
        <w:ind w:leftChars="0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32"/>
          <w:lang w:val="en-US" w:eastAsia="zh-CN"/>
        </w:rPr>
        <w:t>C.数据方式：实时推送（VTE系统—&gt;集成平台—&gt;HIS系统/护理系统/EMR系统）</w:t>
      </w:r>
    </w:p>
    <w:p w14:paraId="419B2EF9"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6、按照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“VTE2.0接口文档V2.0.5”文档，2推送患者评估结果字段要求开发，</w:t>
      </w:r>
      <w:r>
        <w:rPr>
          <w:rFonts w:hint="eastAsia" w:ascii="宋体" w:hAnsi="宋体" w:eastAsia="宋体" w:cs="宋体"/>
          <w:sz w:val="24"/>
          <w:szCs w:val="32"/>
        </w:rPr>
        <w:t>评估完成后评估结果推回医生站或护士站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等</w:t>
      </w:r>
      <w:r>
        <w:rPr>
          <w:rFonts w:hint="eastAsia" w:ascii="宋体" w:hAnsi="宋体" w:eastAsia="宋体" w:cs="宋体"/>
          <w:sz w:val="24"/>
          <w:szCs w:val="32"/>
        </w:rPr>
        <w:t>用于显示(医护老师即可查看到最新的评估结果)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；</w:t>
      </w:r>
    </w:p>
    <w:p w14:paraId="179D9DA8">
      <w:pPr>
        <w:pStyle w:val="7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7、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集成平台提供“接收VTE.PDF病程记录接口”，用于360显示；</w:t>
      </w:r>
    </w:p>
    <w:p w14:paraId="2779A4F3">
      <w:pPr>
        <w:numPr>
          <w:ilvl w:val="0"/>
          <w:numId w:val="0"/>
        </w:numPr>
        <w:ind w:leftChars="0"/>
        <w:outlineLvl w:val="3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五、VTE系统</w:t>
      </w:r>
    </w:p>
    <w:p w14:paraId="52674A1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VTE系统按照集成平台标准规范要求，开发新的接口。</w:t>
      </w:r>
    </w:p>
    <w:p w14:paraId="2E6DB6EC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08AAC89">
      <w:pPr>
        <w:numPr>
          <w:ilvl w:val="0"/>
          <w:numId w:val="4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集成平台提供【推送服务】“VTE2.0接口文档V2.0.5”文档，1患者基本信息接口；</w:t>
      </w:r>
    </w:p>
    <w:p w14:paraId="72FA28DA">
      <w:pPr>
        <w:numPr>
          <w:ilvl w:val="0"/>
          <w:numId w:val="4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集成平台提供【接收服务】“VTE2.0接口文档V2.0.5”文档，2推送患者评估结果；</w:t>
      </w:r>
    </w:p>
    <w:p w14:paraId="7BE34683">
      <w:pPr>
        <w:numPr>
          <w:ilvl w:val="0"/>
          <w:numId w:val="4"/>
        </w:numPr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集成平台提供【推送服务】“VTE2.0接口文档V2.0.5”文档，4用户数据信息；</w:t>
      </w:r>
    </w:p>
    <w:p w14:paraId="569B21D8">
      <w:pPr>
        <w:numPr>
          <w:ilvl w:val="0"/>
          <w:numId w:val="4"/>
        </w:numPr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集成平台提供【查询服务】“VTE2.0接口文档V2.0.5”文档，5患者医嘱信息；</w:t>
      </w:r>
    </w:p>
    <w:p w14:paraId="41C95241">
      <w:pPr>
        <w:numPr>
          <w:ilvl w:val="0"/>
          <w:numId w:val="4"/>
        </w:numPr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集成平台提供【查询服务】“VTE2.0接口文档V2.0.5”文档，6患者住院费用信息；</w:t>
      </w:r>
    </w:p>
    <w:p w14:paraId="47CBC2FA">
      <w:pPr>
        <w:numPr>
          <w:ilvl w:val="0"/>
          <w:numId w:val="4"/>
        </w:numPr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集成平台提供【推送服务】“VTE2.0接口文档V2.0.5”文档，7患者离院信息；</w:t>
      </w:r>
    </w:p>
    <w:p w14:paraId="79A4D89E">
      <w:pPr>
        <w:numPr>
          <w:numId w:val="0"/>
        </w:numPr>
        <w:rPr>
          <w:rFonts w:hint="default" w:ascii="宋体" w:hAnsi="宋体" w:eastAsia="宋体" w:cs="宋体"/>
          <w:sz w:val="24"/>
          <w:szCs w:val="32"/>
          <w:lang w:val="en-US" w:eastAsia="zh-CN"/>
        </w:rPr>
      </w:pPr>
    </w:p>
    <w:p w14:paraId="2A23E7B6">
      <w:pPr>
        <w:numPr>
          <w:ilvl w:val="0"/>
          <w:numId w:val="4"/>
        </w:numPr>
        <w:spacing w:line="360" w:lineRule="auto"/>
        <w:ind w:left="0" w:leftChars="0" w:firstLine="0" w:firstLine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集成平台提供【接收服务】“接收VTE.PDF病程记录接口”，用于用于360显示；</w:t>
      </w:r>
    </w:p>
    <w:p w14:paraId="582B580A">
      <w:pPr>
        <w:pStyle w:val="7"/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 w:line="360" w:lineRule="auto"/>
        <w:ind w:left="0" w:leftChars="0" w:right="0" w:firstLine="0" w:firstLine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VTE系统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提供“VTE评估结果视图服务”用于后期其他业务系统查看及显示；</w:t>
      </w:r>
    </w:p>
    <w:p w14:paraId="5AA58A9B">
      <w:pPr>
        <w:numPr>
          <w:ilvl w:val="0"/>
          <w:numId w:val="0"/>
        </w:numPr>
        <w:outlineLvl w:val="3"/>
        <w:rPr>
          <w:rFonts w:hint="default"/>
          <w:lang w:val="en-US" w:eastAsia="zh-CN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六、信息科准备VTE系统运行环境</w:t>
      </w:r>
    </w:p>
    <w:p w14:paraId="47A99E28"/>
    <w:p w14:paraId="4657113D">
      <w:pPr>
        <w:keepNext w:val="0"/>
        <w:keepLines w:val="0"/>
        <w:widowControl/>
        <w:suppressLineNumbers w:val="0"/>
        <w:jc w:val="left"/>
        <w:rPr>
          <w:rFonts w:hint="default"/>
          <w:lang w:val="en-US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一、硬件配置建议如下：</w:t>
      </w:r>
    </w:p>
    <w:p w14:paraId="26833797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目前配置为标配，系统正式上线后，我们会监测咱们医院的数据量，如果后期数据量较大，届时还需扩容。</w:t>
      </w:r>
    </w:p>
    <w:p w14:paraId="02741093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具体配置如下：</w:t>
      </w:r>
    </w:p>
    <w:p w14:paraId="15657CAE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服务器：liunx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麒麟-V10(64位)</w:t>
      </w:r>
    </w:p>
    <w:p w14:paraId="257FD265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 xml:space="preserve">内存：16G </w:t>
      </w:r>
    </w:p>
    <w:p w14:paraId="04E623ED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CPU：8核8线程</w:t>
      </w:r>
    </w:p>
    <w:p w14:paraId="16345DE7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网络：全院内网</w:t>
      </w:r>
    </w:p>
    <w:p w14:paraId="62F3809B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硬盘：500G</w:t>
      </w:r>
    </w:p>
    <w:p w14:paraId="1312DFD0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分区：1、/root根目录400G。2、home目录100G</w:t>
      </w:r>
    </w:p>
    <w:p w14:paraId="7DFC3803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二、软件环境资源列表：</w:t>
      </w:r>
    </w:p>
    <w:p w14:paraId="37BF07D9">
      <w:pPr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软件环境准备如下，由 VTE 系统提供（可能根据实施情况略有调整）：</w:t>
      </w:r>
    </w:p>
    <w:p w14:paraId="1B82FC14">
      <w:pPr>
        <w:spacing w:line="106" w:lineRule="exact"/>
      </w:pPr>
    </w:p>
    <w:tbl>
      <w:tblPr>
        <w:tblStyle w:val="11"/>
        <w:tblW w:w="9100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24"/>
        <w:gridCol w:w="3398"/>
        <w:gridCol w:w="4978"/>
      </w:tblGrid>
      <w:tr w14:paraId="722F225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57" w:hRule="atLeast"/>
        </w:trPr>
        <w:tc>
          <w:tcPr>
            <w:tcW w:w="724" w:type="dxa"/>
            <w:shd w:val="clear" w:color="auto" w:fill="9BC2E6"/>
            <w:textDirection w:val="tbRlV"/>
            <w:vAlign w:val="top"/>
          </w:tcPr>
          <w:p w14:paraId="1EA38DB4">
            <w:pPr>
              <w:pStyle w:val="10"/>
              <w:spacing w:before="219" w:line="211" w:lineRule="auto"/>
              <w:ind w:left="177"/>
            </w:pPr>
            <w:r>
              <w:rPr>
                <w:color w:val="FFFFFF"/>
                <w:spacing w:val="1"/>
                <w14:textOutline w14:w="5103" w14:cap="sq" w14:cmpd="sng">
                  <w14:solidFill>
                    <w14:srgbClr w14:val="FFFFFF"/>
                  </w14:solidFill>
                  <w14:prstDash w14:val="solid"/>
                  <w14:bevel/>
                </w14:textOutline>
              </w:rPr>
              <w:t>序</w:t>
            </w:r>
            <w:r>
              <w:rPr>
                <w:color w:val="FFFFFF"/>
                <w:spacing w:val="31"/>
              </w:rPr>
              <w:t xml:space="preserve">  </w:t>
            </w:r>
            <w:r>
              <w:rPr>
                <w:color w:val="FFFFFF"/>
                <w:spacing w:val="1"/>
                <w14:textOutline w14:w="5103" w14:cap="sq" w14:cmpd="sng">
                  <w14:solidFill>
                    <w14:srgbClr w14:val="FFFFFF"/>
                  </w14:solidFill>
                  <w14:prstDash w14:val="solid"/>
                  <w14:bevel/>
                </w14:textOutline>
              </w:rPr>
              <w:t>号</w:t>
            </w:r>
          </w:p>
        </w:tc>
        <w:tc>
          <w:tcPr>
            <w:tcW w:w="3398" w:type="dxa"/>
            <w:shd w:val="clear" w:color="auto" w:fill="9BC2E6"/>
            <w:vAlign w:val="top"/>
          </w:tcPr>
          <w:p w14:paraId="7D6339FF">
            <w:pPr>
              <w:spacing w:line="395" w:lineRule="auto"/>
              <w:rPr>
                <w:rFonts w:ascii="Arial"/>
                <w:sz w:val="21"/>
              </w:rPr>
            </w:pPr>
          </w:p>
          <w:p w14:paraId="4C1F45B5">
            <w:pPr>
              <w:pStyle w:val="10"/>
              <w:spacing w:before="91" w:line="221" w:lineRule="auto"/>
              <w:ind w:left="1147"/>
            </w:pPr>
            <w:r>
              <w:rPr>
                <w:color w:val="FFFFFF"/>
                <w:spacing w:val="-3"/>
                <w14:textOutline w14:w="5103" w14:cap="sq" w14:cmpd="sng">
                  <w14:solidFill>
                    <w14:srgbClr w14:val="FFFFFF"/>
                  </w14:solidFill>
                  <w14:prstDash w14:val="solid"/>
                  <w14:bevel/>
                </w14:textOutline>
              </w:rPr>
              <w:t>软件名称</w:t>
            </w:r>
          </w:p>
        </w:tc>
        <w:tc>
          <w:tcPr>
            <w:tcW w:w="4978" w:type="dxa"/>
            <w:shd w:val="clear" w:color="auto" w:fill="9BC2E6"/>
            <w:vAlign w:val="top"/>
          </w:tcPr>
          <w:p w14:paraId="009F6E9F">
            <w:pPr>
              <w:spacing w:line="395" w:lineRule="auto"/>
              <w:rPr>
                <w:rFonts w:ascii="Arial"/>
                <w:sz w:val="21"/>
              </w:rPr>
            </w:pPr>
          </w:p>
          <w:p w14:paraId="21A2540C">
            <w:pPr>
              <w:pStyle w:val="10"/>
              <w:spacing w:before="91" w:line="220" w:lineRule="auto"/>
              <w:ind w:left="2074"/>
            </w:pPr>
            <w:r>
              <w:rPr>
                <w:color w:val="FFFFFF"/>
                <w:spacing w:val="-4"/>
                <w14:textOutline w14:w="5103" w14:cap="sq" w14:cmpd="sng">
                  <w14:solidFill>
                    <w14:srgbClr w14:val="FFFFFF"/>
                  </w14:solidFill>
                  <w14:prstDash w14:val="solid"/>
                  <w14:bevel/>
                </w14:textOutline>
              </w:rPr>
              <w:t>版本号</w:t>
            </w:r>
          </w:p>
        </w:tc>
      </w:tr>
      <w:tr w14:paraId="61B6E85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8" w:hRule="atLeast"/>
        </w:trPr>
        <w:tc>
          <w:tcPr>
            <w:tcW w:w="724" w:type="dxa"/>
            <w:vAlign w:val="top"/>
          </w:tcPr>
          <w:p w14:paraId="54D602B9">
            <w:pPr>
              <w:pStyle w:val="10"/>
              <w:spacing w:before="216" w:line="184" w:lineRule="auto"/>
              <w:ind w:left="321"/>
            </w:pPr>
            <w:r>
              <w:t>1</w:t>
            </w:r>
          </w:p>
        </w:tc>
        <w:tc>
          <w:tcPr>
            <w:tcW w:w="3398" w:type="dxa"/>
            <w:vAlign w:val="top"/>
          </w:tcPr>
          <w:p w14:paraId="7FB17088">
            <w:pPr>
              <w:pStyle w:val="10"/>
              <w:spacing w:before="172" w:line="221" w:lineRule="auto"/>
              <w:ind w:left="761"/>
            </w:pPr>
            <w:r>
              <w:rPr>
                <w:spacing w:val="-2"/>
              </w:rPr>
              <w:t>操作系统</w:t>
            </w:r>
            <w:r>
              <w:rPr>
                <w:spacing w:val="-63"/>
              </w:rPr>
              <w:t xml:space="preserve"> </w:t>
            </w:r>
            <w:r>
              <w:rPr>
                <w:spacing w:val="-2"/>
              </w:rPr>
              <w:t>Linux</w:t>
            </w:r>
          </w:p>
        </w:tc>
        <w:tc>
          <w:tcPr>
            <w:tcW w:w="4978" w:type="dxa"/>
            <w:vAlign w:val="top"/>
          </w:tcPr>
          <w:p w14:paraId="5E77A88D">
            <w:pPr>
              <w:pStyle w:val="10"/>
              <w:spacing w:before="172"/>
              <w:ind w:left="1864"/>
              <w:rPr>
                <w:rFonts w:hint="eastAsia" w:eastAsia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32"/>
                <w:lang w:val="en-US" w:eastAsia="zh-CN" w:bidi="ar-SA"/>
              </w:rPr>
              <w:t>麒麟-V10(64位)</w:t>
            </w:r>
          </w:p>
        </w:tc>
      </w:tr>
      <w:tr w14:paraId="147408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8" w:hRule="atLeast"/>
        </w:trPr>
        <w:tc>
          <w:tcPr>
            <w:tcW w:w="724" w:type="dxa"/>
            <w:vAlign w:val="top"/>
          </w:tcPr>
          <w:p w14:paraId="53BBFA55">
            <w:pPr>
              <w:pStyle w:val="10"/>
              <w:spacing w:before="218" w:line="183" w:lineRule="auto"/>
              <w:ind w:left="304"/>
            </w:pPr>
            <w:r>
              <w:t>2</w:t>
            </w:r>
          </w:p>
        </w:tc>
        <w:tc>
          <w:tcPr>
            <w:tcW w:w="3398" w:type="dxa"/>
            <w:vAlign w:val="top"/>
          </w:tcPr>
          <w:p w14:paraId="0AB62050">
            <w:pPr>
              <w:pStyle w:val="10"/>
              <w:spacing w:before="172" w:line="216" w:lineRule="auto"/>
              <w:ind w:left="904"/>
            </w:pPr>
            <w:r>
              <w:rPr>
                <w:spacing w:val="-2"/>
              </w:rPr>
              <w:t>数据库</w:t>
            </w:r>
            <w:r>
              <w:rPr>
                <w:spacing w:val="-67"/>
              </w:rPr>
              <w:t xml:space="preserve"> </w:t>
            </w:r>
            <w:r>
              <w:rPr>
                <w:spacing w:val="-2"/>
              </w:rPr>
              <w:t>Mysql</w:t>
            </w:r>
          </w:p>
        </w:tc>
        <w:tc>
          <w:tcPr>
            <w:tcW w:w="4978" w:type="dxa"/>
            <w:vAlign w:val="top"/>
          </w:tcPr>
          <w:p w14:paraId="4EB40032">
            <w:pPr>
              <w:pStyle w:val="10"/>
              <w:spacing w:before="172" w:line="216" w:lineRule="auto"/>
              <w:ind w:left="1648"/>
              <w:rPr>
                <w:rFonts w:hint="default" w:eastAsia="宋体"/>
                <w:lang w:val="en-US" w:eastAsia="zh-CN"/>
              </w:rPr>
            </w:pPr>
            <w:r>
              <w:rPr>
                <w:spacing w:val="-1"/>
              </w:rPr>
              <w:t>mysql-5.</w:t>
            </w:r>
            <w:r>
              <w:rPr>
                <w:rFonts w:hint="eastAsia"/>
                <w:spacing w:val="-1"/>
                <w:lang w:val="en-US" w:eastAsia="zh-CN"/>
              </w:rPr>
              <w:t>7</w:t>
            </w:r>
            <w:r>
              <w:rPr>
                <w:spacing w:val="-1"/>
              </w:rPr>
              <w:t>.</w:t>
            </w:r>
            <w:r>
              <w:rPr>
                <w:rFonts w:hint="eastAsia"/>
                <w:spacing w:val="-1"/>
                <w:lang w:val="en-US" w:eastAsia="zh-CN"/>
              </w:rPr>
              <w:t>39</w:t>
            </w:r>
          </w:p>
        </w:tc>
      </w:tr>
      <w:tr w14:paraId="43CF538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8" w:hRule="atLeast"/>
        </w:trPr>
        <w:tc>
          <w:tcPr>
            <w:tcW w:w="724" w:type="dxa"/>
            <w:vAlign w:val="top"/>
          </w:tcPr>
          <w:p w14:paraId="1E8A2410">
            <w:pPr>
              <w:pStyle w:val="10"/>
              <w:spacing w:before="218" w:line="183" w:lineRule="auto"/>
              <w:ind w:left="306"/>
            </w:pPr>
            <w:r>
              <w:t>3</w:t>
            </w:r>
          </w:p>
        </w:tc>
        <w:tc>
          <w:tcPr>
            <w:tcW w:w="3398" w:type="dxa"/>
            <w:vAlign w:val="top"/>
          </w:tcPr>
          <w:p w14:paraId="0C1B48BE">
            <w:pPr>
              <w:pStyle w:val="10"/>
              <w:spacing w:before="220" w:line="182" w:lineRule="auto"/>
              <w:ind w:left="1496"/>
            </w:pPr>
            <w:r>
              <w:rPr>
                <w:spacing w:val="-3"/>
              </w:rPr>
              <w:t>JDK</w:t>
            </w:r>
          </w:p>
        </w:tc>
        <w:tc>
          <w:tcPr>
            <w:tcW w:w="4978" w:type="dxa"/>
            <w:vAlign w:val="top"/>
          </w:tcPr>
          <w:p w14:paraId="604855E1">
            <w:pPr>
              <w:pStyle w:val="10"/>
              <w:spacing w:before="174" w:line="214" w:lineRule="auto"/>
              <w:ind w:left="1666"/>
            </w:pPr>
            <w:r>
              <w:rPr>
                <w:spacing w:val="-2"/>
              </w:rPr>
              <w:t>jdk1.8.0_151</w:t>
            </w:r>
          </w:p>
        </w:tc>
      </w:tr>
      <w:tr w14:paraId="385A051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8" w:hRule="atLeast"/>
        </w:trPr>
        <w:tc>
          <w:tcPr>
            <w:tcW w:w="724" w:type="dxa"/>
            <w:vAlign w:val="top"/>
          </w:tcPr>
          <w:p w14:paraId="649F2530">
            <w:pPr>
              <w:pStyle w:val="10"/>
              <w:spacing w:before="219" w:line="183" w:lineRule="auto"/>
              <w:ind w:left="300"/>
            </w:pPr>
            <w:r>
              <w:t>4</w:t>
            </w:r>
          </w:p>
        </w:tc>
        <w:tc>
          <w:tcPr>
            <w:tcW w:w="3398" w:type="dxa"/>
            <w:vAlign w:val="top"/>
          </w:tcPr>
          <w:p w14:paraId="7630E2FF">
            <w:pPr>
              <w:pStyle w:val="10"/>
              <w:spacing w:before="174" w:line="241" w:lineRule="auto"/>
              <w:ind w:left="1282"/>
            </w:pPr>
            <w:r>
              <w:rPr>
                <w:spacing w:val="-1"/>
              </w:rPr>
              <w:t>Tomcat</w:t>
            </w:r>
          </w:p>
        </w:tc>
        <w:tc>
          <w:tcPr>
            <w:tcW w:w="4978" w:type="dxa"/>
            <w:vAlign w:val="top"/>
          </w:tcPr>
          <w:p w14:paraId="2AD1D350">
            <w:pPr>
              <w:pStyle w:val="10"/>
              <w:spacing w:before="173" w:line="216" w:lineRule="auto"/>
              <w:ind w:left="1097"/>
            </w:pPr>
            <w:r>
              <w:rPr>
                <w:spacing w:val="-1"/>
              </w:rPr>
              <w:t>apache-tomcat-8.0.53</w:t>
            </w:r>
          </w:p>
        </w:tc>
      </w:tr>
      <w:tr w14:paraId="6C0D844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3" w:hRule="atLeast"/>
        </w:trPr>
        <w:tc>
          <w:tcPr>
            <w:tcW w:w="724" w:type="dxa"/>
            <w:vAlign w:val="top"/>
          </w:tcPr>
          <w:p w14:paraId="0EB1CB24">
            <w:pPr>
              <w:pStyle w:val="10"/>
              <w:spacing w:before="224" w:line="182" w:lineRule="auto"/>
              <w:ind w:left="306"/>
            </w:pPr>
            <w:r>
              <w:t>5</w:t>
            </w:r>
          </w:p>
        </w:tc>
        <w:tc>
          <w:tcPr>
            <w:tcW w:w="3398" w:type="dxa"/>
            <w:vAlign w:val="top"/>
          </w:tcPr>
          <w:p w14:paraId="6DF2BBAB">
            <w:pPr>
              <w:pStyle w:val="10"/>
              <w:spacing w:before="177" w:line="220" w:lineRule="auto"/>
              <w:ind w:left="1429"/>
            </w:pPr>
            <w:r>
              <w:rPr>
                <w:spacing w:val="-6"/>
              </w:rPr>
              <w:t>谷歌</w:t>
            </w:r>
          </w:p>
        </w:tc>
        <w:tc>
          <w:tcPr>
            <w:tcW w:w="4978" w:type="dxa"/>
            <w:vAlign w:val="top"/>
          </w:tcPr>
          <w:p w14:paraId="71346AB8">
            <w:pPr>
              <w:pStyle w:val="10"/>
              <w:spacing w:before="177" w:line="214" w:lineRule="auto"/>
              <w:ind w:left="123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pacing w:val="-1"/>
                <w:lang w:val="en-US" w:eastAsia="zh-CN"/>
              </w:rPr>
              <w:t>版本80以上</w:t>
            </w:r>
          </w:p>
        </w:tc>
      </w:tr>
    </w:tbl>
    <w:p w14:paraId="5FD0772B">
      <w:pPr>
        <w:pStyle w:val="6"/>
        <w:spacing w:before="92" w:line="220" w:lineRule="auto"/>
        <w:ind w:left="51"/>
        <w:rPr>
          <w:b/>
          <w:bCs/>
        </w:rPr>
      </w:pPr>
      <w:r>
        <w:rPr>
          <w:rFonts w:hint="eastAsia"/>
          <w:b/>
          <w:bCs/>
          <w:spacing w:val="11"/>
          <w:lang w:val="en-US" w:eastAsia="zh-CN"/>
        </w:rPr>
        <w:t>三</w:t>
      </w:r>
      <w:r>
        <w:rPr>
          <w:b/>
          <w:bCs/>
          <w:spacing w:val="11"/>
        </w:rPr>
        <w:t>、提供工作条件：</w:t>
      </w:r>
    </w:p>
    <w:p w14:paraId="52568C2A">
      <w:pPr>
        <w:pStyle w:val="6"/>
        <w:tabs>
          <w:tab w:val="left" w:pos="172"/>
        </w:tabs>
        <w:spacing w:before="290" w:line="220" w:lineRule="auto"/>
        <w:ind w:left="14" w:firstLine="240" w:firstLineChars="10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（1）VPN+堡垒机</w:t>
      </w:r>
    </w:p>
    <w:p w14:paraId="010E7162">
      <w:pPr>
        <w:pStyle w:val="6"/>
        <w:tabs>
          <w:tab w:val="left" w:pos="172"/>
        </w:tabs>
        <w:spacing w:before="290" w:line="220" w:lineRule="auto"/>
        <w:ind w:left="14" w:firstLine="240" w:firstLineChars="10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（</w:t>
      </w:r>
      <w:r>
        <w:rPr>
          <w:rFonts w:hint="eastAsia" w:cs="宋体"/>
          <w:kern w:val="2"/>
          <w:sz w:val="24"/>
          <w:szCs w:val="32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）远程桌面电脑</w:t>
      </w:r>
    </w:p>
    <w:p w14:paraId="44397B29">
      <w:pPr>
        <w:pStyle w:val="6"/>
        <w:tabs>
          <w:tab w:val="left" w:pos="172"/>
        </w:tabs>
        <w:spacing w:before="290" w:line="220" w:lineRule="auto"/>
        <w:ind w:left="14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/>
          <w:b/>
          <w:bCs/>
          <w:spacing w:val="11"/>
          <w:lang w:val="en-US" w:eastAsia="zh-CN"/>
        </w:rPr>
        <w:t>四</w:t>
      </w:r>
      <w:r>
        <w:rPr>
          <w:b/>
          <w:bCs/>
          <w:spacing w:val="11"/>
        </w:rPr>
        <w:t>、</w:t>
      </w:r>
      <w:r>
        <w:rPr>
          <w:rFonts w:hint="eastAsia"/>
          <w:b/>
          <w:bCs/>
          <w:spacing w:val="11"/>
          <w:lang w:val="en-US" w:eastAsia="zh-CN"/>
        </w:rPr>
        <w:t>基础数据字典项收集</w:t>
      </w:r>
      <w:r>
        <w:rPr>
          <w:b/>
          <w:bCs/>
          <w:spacing w:val="11"/>
        </w:rPr>
        <w:t>：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 xml:space="preserve"> </w:t>
      </w:r>
    </w:p>
    <w:p w14:paraId="4C307D01">
      <w:pPr>
        <w:ind w:firstLine="420" w:firstLine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由医务处及临床提供</w:t>
      </w:r>
    </w:p>
    <w:p w14:paraId="1CD8280D">
      <w:pPr>
        <w:numPr>
          <w:numId w:val="0"/>
        </w:numPr>
        <w:jc w:val="both"/>
        <w:rPr>
          <w:rFonts w:hint="default" w:ascii="宋体" w:hAnsi="宋体" w:eastAsia="宋体" w:cs="宋体"/>
          <w:b w:val="0"/>
          <w:bCs w:val="0"/>
          <w:color w:val="auto"/>
          <w:sz w:val="24"/>
          <w:szCs w:val="32"/>
          <w:lang w:val="en-US" w:eastAsia="zh-CN"/>
        </w:rPr>
      </w:pPr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8C8A6BB"/>
    <w:multiLevelType w:val="singleLevel"/>
    <w:tmpl w:val="C8C8A6BB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CDC3B7F6"/>
    <w:multiLevelType w:val="singleLevel"/>
    <w:tmpl w:val="CDC3B7F6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D7B18CA4"/>
    <w:multiLevelType w:val="singleLevel"/>
    <w:tmpl w:val="D7B18CA4"/>
    <w:lvl w:ilvl="0" w:tentative="0">
      <w:start w:val="3"/>
      <w:numFmt w:val="decimal"/>
      <w:suff w:val="nothing"/>
      <w:lvlText w:val="%1、"/>
      <w:lvlJc w:val="left"/>
    </w:lvl>
  </w:abstractNum>
  <w:abstractNum w:abstractNumId="3">
    <w:nsid w:val="3172A2DE"/>
    <w:multiLevelType w:val="singleLevel"/>
    <w:tmpl w:val="3172A2D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DD1F8B"/>
    <w:rsid w:val="03375791"/>
    <w:rsid w:val="05E16AE2"/>
    <w:rsid w:val="20DF0FFB"/>
    <w:rsid w:val="2E5A7DE7"/>
    <w:rsid w:val="36DD1F8B"/>
    <w:rsid w:val="42A15FF5"/>
    <w:rsid w:val="4A100C16"/>
    <w:rsid w:val="5217365A"/>
    <w:rsid w:val="57686C8A"/>
    <w:rsid w:val="64F73A13"/>
    <w:rsid w:val="70F8439A"/>
    <w:rsid w:val="73605010"/>
    <w:rsid w:val="7BB847BE"/>
    <w:rsid w:val="7BC13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semiHidden/>
    <w:qFormat/>
    <w:uiPriority w:val="0"/>
    <w:rPr>
      <w:rFonts w:ascii="宋体" w:hAnsi="宋体" w:eastAsia="宋体" w:cs="宋体"/>
      <w:sz w:val="28"/>
      <w:szCs w:val="28"/>
      <w:lang w:val="en-US" w:eastAsia="en-US" w:bidi="ar-SA"/>
    </w:rPr>
  </w:style>
  <w:style w:type="paragraph" w:styleId="7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10">
    <w:name w:val="Table Text"/>
    <w:basedOn w:val="1"/>
    <w:autoRedefine/>
    <w:semiHidden/>
    <w:qFormat/>
    <w:uiPriority w:val="0"/>
    <w:rPr>
      <w:rFonts w:ascii="宋体" w:hAnsi="宋体" w:eastAsia="宋体" w:cs="宋体"/>
      <w:sz w:val="28"/>
      <w:szCs w:val="28"/>
      <w:lang w:val="en-US" w:eastAsia="en-US" w:bidi="ar-SA"/>
    </w:rPr>
  </w:style>
  <w:style w:type="table" w:customStyle="1" w:styleId="11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2025-02-24T08:06:00Z</dcterms:created>
  <dc:creator>在乎你在不在乎的在乎、</dc:creator>
  <cp:lastModifiedBy>在乎你在不在乎的在乎、</cp:lastModifiedBy>
  <dcterms:modified xsi:type="dcterms:W3CDTF">2025-02-24T09:59:56Z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5F85F18749374A34A72910420BF17AE3_11</vt:lpwstr>
  </property>
  <property fmtid="{D5CDD505-2E9C-101B-9397-08002B2CF9AE}" pid="4" name="KSOTemplateDocerSaveRecord">
    <vt:lpwstr>eyJoZGlkIjoiYmQ1MzNhZjM4OTNjOGI2ZjI4N2UzZTExNTliYjc0YmEiLCJ1c2VySWQiOiI0MTcwNDQ4MDgifQ==</vt:lpwstr>
  </property>
</Properties>
</file>