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BB640">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关于医疗服务项目同目录编码不同诊疗项目接口改造说明</w:t>
      </w:r>
    </w:p>
    <w:p w14:paraId="3AFEDB98">
      <w:pPr>
        <w:pStyle w:val="3"/>
        <w:bidi w:val="0"/>
        <w:rPr>
          <w:rFonts w:hint="eastAsia" w:ascii="仿宋" w:hAnsi="仿宋" w:eastAsia="仿宋" w:cs="仿宋"/>
          <w:lang w:val="en-US" w:eastAsia="zh-CN"/>
        </w:rPr>
      </w:pPr>
      <w:r>
        <w:rPr>
          <w:rFonts w:hint="eastAsia" w:ascii="仿宋" w:hAnsi="仿宋" w:eastAsia="仿宋" w:cs="仿宋"/>
          <w:lang w:val="en-US" w:eastAsia="zh-CN"/>
        </w:rPr>
        <w:t>一、背景</w:t>
      </w:r>
    </w:p>
    <w:p w14:paraId="68D53C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闽医保〔2025年〕65号《福建省医疗保障局关于调整在榕省属公立医院连续动态血糖监测等部分检查检验类医疗服务项目价格的通知》文件内容，因文件中存在同一个诊疗服务项目编码，但项目名称定义、限价不一致情况，各定点机构需在两定接口规范明细上传接口标准上做调整，确保符合政策落地实施。</w:t>
      </w:r>
    </w:p>
    <w:p w14:paraId="454B88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在榕省属公立医院部分检查检验类医疗服务项目价格调整表如下：</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456"/>
        <w:gridCol w:w="1776"/>
        <w:gridCol w:w="2297"/>
      </w:tblGrid>
      <w:tr w14:paraId="27AE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5077">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B600">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国家结算编码</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B6B7">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highlight w:val="yellow"/>
                <w:lang w:val="en-US" w:eastAsia="zh-CN"/>
              </w:rPr>
              <w:t>扩展码</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8046">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地方项目名称</w:t>
            </w:r>
          </w:p>
        </w:tc>
      </w:tr>
      <w:tr w14:paraId="013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9023">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712A">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D80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F4A0">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用药指导的基因检测 </w:t>
            </w:r>
          </w:p>
        </w:tc>
      </w:tr>
      <w:tr w14:paraId="21A6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70CF">
            <w:pPr>
              <w:bidi w:val="0"/>
              <w:spacing w:line="24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5D68">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w:t>
            </w:r>
            <w:bookmarkStart w:id="0" w:name="_GoBack"/>
            <w:bookmarkEnd w:id="0"/>
            <w:r>
              <w:rPr>
                <w:rFonts w:hint="eastAsia" w:ascii="仿宋" w:hAnsi="仿宋" w:eastAsia="仿宋" w:cs="仿宋"/>
                <w:sz w:val="24"/>
                <w:szCs w:val="24"/>
                <w:lang w:val="en-US" w:eastAsia="zh-CN"/>
              </w:rPr>
              <w:t>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90BF">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A91">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结核分枝杆菌及利福平耐药基因核酸检测</w:t>
            </w:r>
          </w:p>
        </w:tc>
      </w:tr>
      <w:tr w14:paraId="7965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82BB">
            <w:pPr>
              <w:bidi w:val="0"/>
              <w:spacing w:line="24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163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AC14">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AC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结核分枝杆菌耐药基因检测</w:t>
            </w:r>
          </w:p>
        </w:tc>
      </w:tr>
      <w:tr w14:paraId="39D7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348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5D1">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36C7">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C95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各类病原体核酸测定 </w:t>
            </w:r>
          </w:p>
        </w:tc>
      </w:tr>
      <w:tr w14:paraId="635F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C96">
            <w:pPr>
              <w:bidi w:val="0"/>
              <w:spacing w:line="240" w:lineRule="auto"/>
              <w:rPr>
                <w:rFonts w:hint="default" w:ascii="仿宋" w:hAnsi="仿宋" w:eastAsia="仿宋" w:cs="仿宋"/>
                <w:sz w:val="24"/>
                <w:szCs w:val="24"/>
                <w:lang w:val="en-US"/>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27C5">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8618">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EC87">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结核分枝杆菌核酸检测</w:t>
            </w:r>
          </w:p>
        </w:tc>
      </w:tr>
      <w:tr w14:paraId="2FE7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95E">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733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002504030650000-25040309201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98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E5D">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各类病原体核酸测定（全自动荧光定量） </w:t>
            </w:r>
          </w:p>
        </w:tc>
      </w:tr>
      <w:tr w14:paraId="08C2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C909">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1B70">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002504030650000-25040309201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EAB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FBC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结核分枝杆菌核酸检测（全自动荧光定量）</w:t>
            </w:r>
          </w:p>
        </w:tc>
      </w:tr>
    </w:tbl>
    <w:p w14:paraId="2CB715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lang w:val="en-US" w:eastAsia="zh-CN"/>
        </w:rPr>
      </w:pPr>
    </w:p>
    <w:p w14:paraId="4396CC14">
      <w:pPr>
        <w:pStyle w:val="3"/>
        <w:bidi w:val="0"/>
        <w:rPr>
          <w:rFonts w:hint="eastAsia" w:ascii="仿宋" w:hAnsi="仿宋" w:eastAsia="仿宋" w:cs="仿宋"/>
          <w:lang w:val="en-US" w:eastAsia="zh-CN"/>
        </w:rPr>
      </w:pPr>
      <w:r>
        <w:rPr>
          <w:rFonts w:hint="eastAsia" w:ascii="仿宋" w:hAnsi="仿宋" w:eastAsia="仿宋" w:cs="仿宋"/>
          <w:lang w:val="en-US" w:eastAsia="zh-CN"/>
        </w:rPr>
        <w:t>二、接口调整内容</w:t>
      </w:r>
    </w:p>
    <w:p w14:paraId="232D7E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针对同编码不同项目名称的诊疗项目在</w:t>
      </w:r>
      <w:r>
        <w:rPr>
          <w:rFonts w:hint="eastAsia" w:ascii="仿宋" w:hAnsi="仿宋" w:eastAsia="仿宋" w:cs="仿宋"/>
          <w:sz w:val="28"/>
          <w:szCs w:val="28"/>
        </w:rPr>
        <w:t>【2204】、【2301】门诊和住院明细上传接口</w:t>
      </w:r>
      <w:r>
        <w:rPr>
          <w:rFonts w:hint="eastAsia" w:ascii="仿宋" w:hAnsi="仿宋" w:eastAsia="仿宋" w:cs="仿宋"/>
          <w:sz w:val="28"/>
          <w:szCs w:val="28"/>
          <w:lang w:val="en-US" w:eastAsia="zh-CN"/>
        </w:rPr>
        <w:t>的</w:t>
      </w:r>
      <w:r>
        <w:rPr>
          <w:rFonts w:hint="eastAsia" w:ascii="仿宋" w:hAnsi="仿宋" w:eastAsia="仿宋" w:cs="仿宋"/>
          <w:sz w:val="28"/>
          <w:szCs w:val="28"/>
        </w:rPr>
        <w:t>扩展字段“</w:t>
      </w:r>
      <w:r>
        <w:rPr>
          <w:rFonts w:hint="eastAsia" w:ascii="仿宋" w:hAnsi="仿宋" w:eastAsia="仿宋" w:cs="仿宋"/>
          <w:sz w:val="28"/>
          <w:szCs w:val="28"/>
          <w:highlight w:val="yellow"/>
        </w:rPr>
        <w:t>exp_content</w:t>
      </w:r>
      <w:r>
        <w:rPr>
          <w:rFonts w:hint="eastAsia" w:ascii="仿宋" w:hAnsi="仿宋" w:eastAsia="仿宋" w:cs="仿宋"/>
          <w:sz w:val="28"/>
          <w:szCs w:val="28"/>
        </w:rPr>
        <w:t>”</w:t>
      </w:r>
      <w:r>
        <w:rPr>
          <w:rFonts w:hint="eastAsia" w:ascii="仿宋" w:hAnsi="仿宋" w:eastAsia="仿宋" w:cs="仿宋"/>
          <w:sz w:val="28"/>
          <w:szCs w:val="28"/>
          <w:lang w:val="en-US" w:eastAsia="zh-CN"/>
        </w:rPr>
        <w:t>中增加medCodeDifProj参数字段。</w:t>
      </w:r>
    </w:p>
    <w:p w14:paraId="5BC79F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medCodeDifProj该参数字段用于标识同编码不同项目名称拓展编码，若不是同编码不同项目则medCodeDifProj不用传。</w:t>
      </w:r>
    </w:p>
    <w:p w14:paraId="50C7E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yellow"/>
          <w:lang w:val="en-US" w:eastAsia="zh-CN"/>
        </w:rPr>
        <w:t>注意</w:t>
      </w:r>
      <w:r>
        <w:rPr>
          <w:rFonts w:hint="eastAsia" w:ascii="仿宋" w:hAnsi="仿宋" w:eastAsia="仿宋" w:cs="仿宋"/>
          <w:sz w:val="28"/>
          <w:szCs w:val="28"/>
          <w:lang w:val="en-US" w:eastAsia="zh-CN"/>
        </w:rPr>
        <w:t>：medCodeDifProj值须严格按照上述表格中“拓展码”字段值传输，确保医保信息系统准确识别。</w:t>
      </w:r>
    </w:p>
    <w:p w14:paraId="40413A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传输格式如下：</w:t>
      </w:r>
    </w:p>
    <w:p w14:paraId="411583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w:t>
      </w:r>
      <w:r>
        <w:rPr>
          <w:rFonts w:hint="eastAsia" w:ascii="仿宋" w:hAnsi="仿宋" w:eastAsia="仿宋" w:cs="仿宋"/>
          <w:i w:val="0"/>
          <w:iCs w:val="0"/>
          <w:color w:val="000000"/>
          <w:kern w:val="0"/>
          <w:sz w:val="28"/>
          <w:szCs w:val="28"/>
          <w:u w:val="none"/>
          <w:lang w:val="en-US" w:eastAsia="zh-CN" w:bidi="ar"/>
        </w:rPr>
        <w:t>用药指导的基因检测</w:t>
      </w:r>
      <w:r>
        <w:rPr>
          <w:rFonts w:hint="eastAsia" w:ascii="仿宋" w:hAnsi="仿宋" w:eastAsia="仿宋" w:cs="仿宋"/>
          <w:sz w:val="28"/>
          <w:szCs w:val="28"/>
          <w:lang w:val="en-US" w:eastAsia="zh-CN"/>
        </w:rPr>
        <w:t>》项目，从上述表格中查到国家结算编码为</w:t>
      </w:r>
      <w:r>
        <w:rPr>
          <w:rFonts w:hint="eastAsia" w:ascii="仿宋" w:hAnsi="仿宋" w:eastAsia="仿宋" w:cs="仿宋"/>
          <w:i w:val="0"/>
          <w:iCs w:val="0"/>
          <w:color w:val="000000"/>
          <w:kern w:val="0"/>
          <w:sz w:val="28"/>
          <w:szCs w:val="28"/>
          <w:u w:val="none"/>
          <w:lang w:val="en-US" w:eastAsia="zh-CN" w:bidi="ar"/>
        </w:rPr>
        <w:t>002507000190300-111100007，扩展码为11110000701，定点机构应传送如下格式：</w:t>
      </w:r>
    </w:p>
    <w:p w14:paraId="0F2B3E88">
      <w:pPr>
        <w:bidi w:val="0"/>
        <w:rPr>
          <w:rFonts w:hint="eastAsia" w:ascii="仿宋" w:hAnsi="仿宋" w:eastAsia="仿宋" w:cs="仿宋"/>
          <w:sz w:val="24"/>
          <w:szCs w:val="24"/>
          <w:lang w:val="en-US" w:eastAsia="zh-CN"/>
        </w:rPr>
      </w:pPr>
      <w:r>
        <w:rPr>
          <w:rFonts w:hint="eastAsia" w:ascii="仿宋" w:hAnsi="仿宋" w:eastAsia="仿宋" w:cs="仿宋"/>
        </w:rPr>
        <w:drawing>
          <wp:inline distT="0" distB="0" distL="114300" distR="114300">
            <wp:extent cx="5273040" cy="7150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715010"/>
                    </a:xfrm>
                    <a:prstGeom prst="rect">
                      <a:avLst/>
                    </a:prstGeom>
                    <a:noFill/>
                    <a:ln>
                      <a:noFill/>
                    </a:ln>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5E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ABF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FABF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5608"/>
    <w:rsid w:val="039822E7"/>
    <w:rsid w:val="095558B0"/>
    <w:rsid w:val="0ACD4E80"/>
    <w:rsid w:val="16075608"/>
    <w:rsid w:val="21A458C1"/>
    <w:rsid w:val="29F019C1"/>
    <w:rsid w:val="2B386D3D"/>
    <w:rsid w:val="3E8F7295"/>
    <w:rsid w:val="4AEE78FE"/>
    <w:rsid w:val="4EF51D6B"/>
    <w:rsid w:val="7F3E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526</Words>
  <Characters>878</Characters>
  <Lines>0</Lines>
  <Paragraphs>0</Paragraphs>
  <TotalTime>3</TotalTime>
  <ScaleCrop>false</ScaleCrop>
  <LinksUpToDate>false</LinksUpToDate>
  <CharactersWithSpaces>881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2025-09-29T04:27:00Z</dcterms:created>
  <dc:creator>清琳</dc:creator>
  <cp:lastModifiedBy>村夫</cp:lastModifiedBy>
  <dcterms:modified xsi:type="dcterms:W3CDTF">2025-09-29T12:07:42Z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EAB0603E6C9342FC86EF53B3D163E9E2_13</vt:lpwstr>
  </property>
  <property fmtid="{D5CDD505-2E9C-101B-9397-08002B2CF9AE}" pid="4" name="KSOTemplateDocerSaveRecord">
    <vt:lpwstr>eyJoZGlkIjoiNmFkZTg1OTZhYjI0YzVjNWJjOWEzNDIwODhjNDEwMWYiLCJ1c2VySWQiOiI4OTc4Mzg5OTEifQ==</vt:lpwstr>
  </property>
</Properties>
</file>