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门诊干预，</w:t>
      </w:r>
      <w:r>
        <w:t>opt</w:t>
      </w:r>
      <w:r>
        <w:rPr>
          <w:rFonts w:hint="eastAsia"/>
        </w:rPr>
        <w:t>_prescriptions</w:t>
      </w:r>
      <w:r>
        <w:rPr>
          <w:rFonts w:hint="eastAsia"/>
          <w:lang w:val="en-US" w:eastAsia="zh-CN"/>
        </w:rPr>
        <w:t>标签下有recipe_doc_title,recipe_doc_id,recipe_doc_name标签取值；</w:t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Xml中 在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35250"/>
            <wp:effectExtent l="0" t="0" r="6985" b="12700"/>
            <wp:docPr id="2" name="图片 2" descr="15693923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6939236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包装系数和发药关系，数量关系，count_unit取值不对；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2"/>
        <w:tblW w:w="9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225"/>
        <w:gridCol w:w="3026"/>
        <w:gridCol w:w="156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&lt;despensing_num&gt;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发药数量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药品实际的发药数量，值只能是数字，可为负数（负数表示退药数量）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double(9,4)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&lt;pack_unit&gt;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发药数量单位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发药单位，和发药数量对应，例如：瓶、盒、片等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varchar(32)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&lt;count_unit&gt;</w:t>
            </w:r>
          </w:p>
        </w:tc>
        <w:tc>
          <w:tcPr>
            <w:tcW w:w="1225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药品包装规格数量</w:t>
            </w:r>
          </w:p>
        </w:tc>
        <w:tc>
          <w:tcPr>
            <w:tcW w:w="3026" w:type="dxa"/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和发药数量单位对应，如按照大规格发则传大规格的包装数量，如果一盒药品12片，发药单位为片时，包装规格数量为1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double(6,2)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textAlignment w:val="center"/>
              <w:rPr>
                <w:rFonts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bidi="ar"/>
              </w:rPr>
              <w:t>N</w:t>
            </w: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诊断需要病人所有诊断，包括中医诊断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门诊：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&lt;opt_diagnoses&gt;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&lt;opt_diagnosis&gt;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&lt;diag_id&gt;</w:t>
      </w:r>
      <w:r>
        <w:rPr>
          <w:rFonts w:ascii="Consolas" w:hAnsi="Consolas"/>
          <w:color w:val="FF1493"/>
          <w:sz w:val="18"/>
        </w:rPr>
        <w:t>&lt;![CDATA[01]]&gt;</w:t>
      </w:r>
      <w:r>
        <w:rPr>
          <w:rFonts w:ascii="Consolas" w:hAnsi="Consolas"/>
          <w:b/>
          <w:bCs/>
          <w:color w:val="006699"/>
          <w:sz w:val="18"/>
        </w:rPr>
        <w:t>&lt;/diag_id&gt;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&lt;diag_date&gt;</w:t>
      </w:r>
      <w:r>
        <w:rPr>
          <w:rFonts w:ascii="Consolas" w:hAnsi="Consolas"/>
          <w:color w:val="FF1493"/>
          <w:sz w:val="18"/>
        </w:rPr>
        <w:t>&lt;![CDATA[2015-01-03 09:00:00]]&gt;</w:t>
      </w:r>
      <w:r>
        <w:rPr>
          <w:rFonts w:ascii="Consolas" w:hAnsi="Consolas"/>
          <w:b/>
          <w:bCs/>
          <w:color w:val="006699"/>
          <w:sz w:val="18"/>
        </w:rPr>
        <w:t>&lt;/diag_date&gt;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&lt;diag_name&gt;</w:t>
      </w:r>
      <w:r>
        <w:rPr>
          <w:rFonts w:ascii="Consolas" w:hAnsi="Consolas"/>
          <w:color w:val="FF1493"/>
          <w:sz w:val="18"/>
        </w:rPr>
        <w:t>&lt;![CDATA[乳腺恶性肿瘤]]&gt;</w:t>
      </w:r>
      <w:r>
        <w:rPr>
          <w:rFonts w:ascii="Consolas" w:hAnsi="Consolas"/>
          <w:b/>
          <w:bCs/>
          <w:color w:val="006699"/>
          <w:sz w:val="18"/>
        </w:rPr>
        <w:t>&lt;/diag_name&gt;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&lt;diag_code&gt;</w:t>
      </w:r>
      <w:r>
        <w:rPr>
          <w:rFonts w:ascii="Consolas" w:hAnsi="Consolas"/>
          <w:color w:val="FF1493"/>
          <w:sz w:val="18"/>
        </w:rPr>
        <w:t>&lt;![CDATA[C50.900]]&gt;</w:t>
      </w:r>
      <w:r>
        <w:rPr>
          <w:rFonts w:ascii="Consolas" w:hAnsi="Consolas"/>
          <w:b/>
          <w:bCs/>
          <w:color w:val="006699"/>
          <w:sz w:val="18"/>
        </w:rPr>
        <w:t>&lt;/diag_code&gt;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&lt;diag_status&gt;</w:t>
      </w:r>
      <w:r>
        <w:rPr>
          <w:rFonts w:ascii="Consolas" w:hAnsi="Consolas"/>
          <w:color w:val="FF1493"/>
          <w:sz w:val="18"/>
        </w:rPr>
        <w:t>&lt;![CDATA[0]]&gt;</w:t>
      </w:r>
      <w:r>
        <w:rPr>
          <w:rFonts w:ascii="Consolas" w:hAnsi="Consolas"/>
          <w:b/>
          <w:bCs/>
          <w:color w:val="006699"/>
          <w:sz w:val="18"/>
        </w:rPr>
        <w:t>&lt;/diag_status&gt;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&lt;diag_doc_name&gt;</w:t>
      </w:r>
      <w:r>
        <w:rPr>
          <w:rFonts w:ascii="Consolas" w:hAnsi="Consolas"/>
          <w:color w:val="FF1493"/>
          <w:sz w:val="18"/>
        </w:rPr>
        <w:t>&lt;![CDATA[张媛媛]]&gt;</w:t>
      </w:r>
      <w:r>
        <w:rPr>
          <w:rFonts w:ascii="Consolas" w:hAnsi="Consolas"/>
          <w:b/>
          <w:bCs/>
          <w:color w:val="006699"/>
          <w:sz w:val="18"/>
        </w:rPr>
        <w:t>&lt;/diag_doc_name&gt;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b/>
          <w:bCs/>
          <w:color w:val="006699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&lt;diag_category&gt;</w:t>
      </w:r>
      <w:r>
        <w:rPr>
          <w:rFonts w:ascii="Consolas" w:hAnsi="Consolas"/>
          <w:color w:val="FF1493"/>
          <w:sz w:val="18"/>
        </w:rPr>
        <w:t>&lt;![CDATA[主要诊断]]&gt;</w:t>
      </w:r>
      <w:r>
        <w:rPr>
          <w:rFonts w:ascii="Consolas" w:hAnsi="Consolas"/>
          <w:b/>
          <w:bCs/>
          <w:color w:val="006699"/>
          <w:sz w:val="18"/>
        </w:rPr>
        <w:t>&lt;/diag_category&gt;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&lt;diag_type&gt;</w:t>
      </w:r>
      <w:r>
        <w:rPr>
          <w:rFonts w:ascii="Consolas" w:hAnsi="Consolas"/>
          <w:color w:val="FF1493"/>
          <w:sz w:val="18"/>
        </w:rPr>
        <w:t>&lt;![CDATA[</w:t>
      </w:r>
      <w:r>
        <w:rPr>
          <w:rFonts w:hint="eastAsia" w:ascii="Consolas" w:hAnsi="Consolas"/>
          <w:color w:val="FF1493"/>
          <w:sz w:val="18"/>
        </w:rPr>
        <w:t>门诊诊断</w:t>
      </w:r>
      <w:r>
        <w:rPr>
          <w:rFonts w:ascii="Consolas" w:hAnsi="Consolas"/>
          <w:color w:val="FF1493"/>
          <w:sz w:val="18"/>
        </w:rPr>
        <w:t>]]&gt;</w:t>
      </w:r>
      <w:r>
        <w:rPr>
          <w:rFonts w:ascii="Consolas" w:hAnsi="Consolas"/>
          <w:b/>
          <w:bCs/>
          <w:color w:val="006699"/>
          <w:sz w:val="18"/>
        </w:rPr>
        <w:t>&lt;/diag_type&gt;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ind w:left="720" w:firstLine="361" w:firstLineChars="200"/>
        <w:rPr>
          <w:rFonts w:ascii="Consolas" w:hAnsi="Consolas"/>
          <w:b/>
          <w:bCs/>
          <w:color w:val="006699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&lt;diag_code_type&gt;</w:t>
      </w:r>
      <w:r>
        <w:rPr>
          <w:rFonts w:ascii="Consolas" w:hAnsi="Consolas"/>
          <w:color w:val="FF1493"/>
          <w:sz w:val="18"/>
        </w:rPr>
        <w:t>&lt;![CDATA[</w:t>
      </w:r>
      <w:r>
        <w:rPr>
          <w:rFonts w:hint="eastAsia" w:ascii="Consolas" w:hAnsi="Consolas"/>
          <w:color w:val="FF1493"/>
          <w:sz w:val="18"/>
        </w:rPr>
        <w:t>1</w:t>
      </w:r>
      <w:r>
        <w:rPr>
          <w:rFonts w:ascii="Consolas" w:hAnsi="Consolas"/>
          <w:color w:val="FF1493"/>
          <w:sz w:val="18"/>
        </w:rPr>
        <w:t>]]&gt;</w:t>
      </w:r>
      <w:r>
        <w:rPr>
          <w:rFonts w:ascii="Consolas" w:hAnsi="Consolas"/>
          <w:b/>
          <w:bCs/>
          <w:color w:val="006699"/>
          <w:sz w:val="18"/>
        </w:rPr>
        <w:t>&lt;/diag_code_type&gt;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/>
        <w:rPr>
          <w:rFonts w:ascii="Consolas" w:hAnsi="Consolas"/>
          <w:b/>
          <w:bCs/>
          <w:color w:val="006699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&lt;/opt_diagnosis&gt;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/>
        <w:rPr>
          <w:rFonts w:ascii="Consolas" w:hAnsi="Consolas"/>
          <w:b/>
          <w:bCs/>
          <w:color w:val="006699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&lt;opt_diagnosis&gt;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/>
        <w:rPr>
          <w:rFonts w:ascii="Consolas" w:hAnsi="Consolas"/>
          <w:color w:val="5C5C5C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6"/>
          <w:szCs w:val="18"/>
        </w:rPr>
        <w:t>一个</w:t>
      </w:r>
      <w:r>
        <w:rPr>
          <w:rFonts w:ascii="微软雅黑" w:hAnsi="微软雅黑" w:eastAsia="微软雅黑" w:cs="微软雅黑"/>
          <w:color w:val="FF0000"/>
          <w:sz w:val="16"/>
          <w:szCs w:val="18"/>
        </w:rPr>
        <w:t>&lt;</w:t>
      </w:r>
      <w:r>
        <w:rPr>
          <w:rFonts w:hint="eastAsia" w:ascii="微软雅黑" w:hAnsi="微软雅黑" w:eastAsia="微软雅黑" w:cs="微软雅黑"/>
          <w:color w:val="FF0000"/>
          <w:sz w:val="16"/>
          <w:szCs w:val="18"/>
        </w:rPr>
        <w:t>o</w:t>
      </w:r>
      <w:r>
        <w:rPr>
          <w:rFonts w:ascii="微软雅黑" w:hAnsi="微软雅黑" w:eastAsia="微软雅黑" w:cs="微软雅黑"/>
          <w:color w:val="FF0000"/>
          <w:sz w:val="16"/>
          <w:szCs w:val="18"/>
        </w:rPr>
        <w:t>pt_diagnosis&gt;</w:t>
      </w:r>
      <w:r>
        <w:rPr>
          <w:rFonts w:hint="eastAsia" w:ascii="微软雅黑" w:hAnsi="微软雅黑" w:eastAsia="微软雅黑" w:cs="微软雅黑"/>
          <w:color w:val="FF0000"/>
          <w:sz w:val="16"/>
          <w:szCs w:val="18"/>
        </w:rPr>
        <w:t>标签，一条诊断信息，多条诊断信息多个</w:t>
      </w:r>
      <w:r>
        <w:rPr>
          <w:rFonts w:ascii="微软雅黑" w:hAnsi="微软雅黑" w:eastAsia="微软雅黑" w:cs="微软雅黑"/>
          <w:color w:val="FF0000"/>
          <w:sz w:val="16"/>
          <w:szCs w:val="18"/>
        </w:rPr>
        <w:t>&lt;</w:t>
      </w:r>
      <w:r>
        <w:rPr>
          <w:rFonts w:hint="eastAsia" w:ascii="微软雅黑" w:hAnsi="微软雅黑" w:eastAsia="微软雅黑" w:cs="微软雅黑"/>
          <w:color w:val="FF0000"/>
          <w:sz w:val="16"/>
          <w:szCs w:val="18"/>
        </w:rPr>
        <w:t>o</w:t>
      </w:r>
      <w:r>
        <w:rPr>
          <w:rFonts w:ascii="微软雅黑" w:hAnsi="微软雅黑" w:eastAsia="微软雅黑" w:cs="微软雅黑"/>
          <w:color w:val="FF0000"/>
          <w:sz w:val="16"/>
          <w:szCs w:val="18"/>
        </w:rPr>
        <w:t>pt_diagnosis&gt;</w:t>
      </w:r>
    </w:p>
    <w:p>
      <w:pPr>
        <w:pBdr>
          <w:left w:val="single" w:color="6CE26C" w:sz="18" w:space="0"/>
        </w:pBdr>
        <w:shd w:val="clear" w:color="auto" w:fill="F8F8F8"/>
        <w:spacing w:before="100" w:beforeAutospacing="1" w:after="100" w:afterAutospacing="1" w:line="200" w:lineRule="exact"/>
        <w:ind w:left="720"/>
        <w:rPr>
          <w:rFonts w:ascii="Consolas" w:hAnsi="Consolas"/>
          <w:b/>
          <w:bCs/>
          <w:color w:val="006699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&lt;/opt_diagnosis&gt;</w:t>
      </w:r>
    </w:p>
    <w:p>
      <w:pPr>
        <w:pBdr>
          <w:left w:val="single" w:color="6CE26C" w:sz="18" w:space="0"/>
        </w:pBdr>
        <w:shd w:val="clear" w:color="auto" w:fill="FFFFFF"/>
        <w:spacing w:before="100" w:beforeAutospacing="1" w:after="100" w:afterAutospacing="1" w:line="200" w:lineRule="exact"/>
        <w:rPr>
          <w:rFonts w:ascii="Consolas" w:hAnsi="Consolas"/>
          <w:color w:val="5C5C5C"/>
          <w:sz w:val="18"/>
        </w:rPr>
      </w:pPr>
      <w:r>
        <w:rPr>
          <w:rFonts w:ascii="Consolas" w:hAnsi="Consolas"/>
          <w:b/>
          <w:bCs/>
          <w:color w:val="006699"/>
          <w:sz w:val="18"/>
        </w:rPr>
        <w:t>&lt;/opt_diagnoses&gt;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8F3AA"/>
    <w:multiLevelType w:val="singleLevel"/>
    <w:tmpl w:val="F2C8F3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96AE6"/>
    <w:rsid w:val="54C47994"/>
    <w:rsid w:val="63DA3B35"/>
    <w:rsid w:val="738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2019-09-25T06:18:38Z</dcterms:created>
  <dc:creator>Administrator</dc:creator>
  <cp:lastModifiedBy>宗亮</cp:lastModifiedBy>
  <dcterms:modified xsi:type="dcterms:W3CDTF">2019-09-25T06:23:10Z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