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40" w:rsidRDefault="0077284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2A5F40" w:rsidRDefault="002A5F4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2A5F40">
        <w:trPr>
          <w:trHeight w:val="242"/>
        </w:trPr>
        <w:tc>
          <w:tcPr>
            <w:tcW w:w="1458" w:type="dxa"/>
            <w:gridSpan w:val="2"/>
          </w:tcPr>
          <w:p w:rsidR="002A5F40" w:rsidRDefault="007728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2A5F40" w:rsidRDefault="00A91231">
            <w:pPr>
              <w:jc w:val="left"/>
            </w:pPr>
            <w:r>
              <w:rPr>
                <w:rFonts w:hint="eastAsia"/>
              </w:rPr>
              <w:t>长乐区第二医院</w:t>
            </w:r>
          </w:p>
        </w:tc>
        <w:tc>
          <w:tcPr>
            <w:tcW w:w="1603" w:type="dxa"/>
          </w:tcPr>
          <w:p w:rsidR="002A5F40" w:rsidRDefault="007728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2A5F40" w:rsidRDefault="00A91231">
            <w:pPr>
              <w:jc w:val="left"/>
            </w:pPr>
            <w:r>
              <w:rPr>
                <w:rFonts w:hint="eastAsia"/>
              </w:rPr>
              <w:t>20200219</w:t>
            </w:r>
          </w:p>
        </w:tc>
      </w:tr>
      <w:tr w:rsidR="002A5F40">
        <w:trPr>
          <w:trHeight w:val="242"/>
        </w:trPr>
        <w:tc>
          <w:tcPr>
            <w:tcW w:w="1458" w:type="dxa"/>
            <w:gridSpan w:val="2"/>
          </w:tcPr>
          <w:p w:rsidR="002A5F40" w:rsidRDefault="007728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2A5F40" w:rsidRDefault="00186A28">
            <w:pPr>
              <w:jc w:val="left"/>
            </w:pPr>
            <w:r>
              <w:rPr>
                <w:rFonts w:hint="eastAsia"/>
              </w:rPr>
              <w:t>住院收费</w:t>
            </w:r>
            <w:r w:rsidR="00772845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2A5F40" w:rsidRDefault="007728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2A5F40" w:rsidRDefault="00A91231" w:rsidP="00186A28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2A5F40">
        <w:trPr>
          <w:trHeight w:val="315"/>
        </w:trPr>
        <w:tc>
          <w:tcPr>
            <w:tcW w:w="1458" w:type="dxa"/>
            <w:gridSpan w:val="2"/>
          </w:tcPr>
          <w:p w:rsidR="002A5F40" w:rsidRDefault="007728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2A5F40" w:rsidRDefault="00186A28">
            <w:pPr>
              <w:jc w:val="left"/>
            </w:pPr>
            <w:proofErr w:type="gramStart"/>
            <w:r>
              <w:rPr>
                <w:rFonts w:hint="eastAsia"/>
              </w:rPr>
              <w:t>董国怀</w:t>
            </w:r>
            <w:proofErr w:type="gramEnd"/>
          </w:p>
        </w:tc>
        <w:tc>
          <w:tcPr>
            <w:tcW w:w="1603" w:type="dxa"/>
          </w:tcPr>
          <w:p w:rsidR="002A5F40" w:rsidRDefault="002A5F40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174" w:type="dxa"/>
          </w:tcPr>
          <w:p w:rsidR="002A5F40" w:rsidRDefault="002A5F40">
            <w:pPr>
              <w:jc w:val="left"/>
            </w:pPr>
          </w:p>
        </w:tc>
      </w:tr>
      <w:tr w:rsidR="002A5F40">
        <w:tc>
          <w:tcPr>
            <w:tcW w:w="1458" w:type="dxa"/>
            <w:gridSpan w:val="2"/>
          </w:tcPr>
          <w:p w:rsidR="002A5F40" w:rsidRDefault="007728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2A5F40" w:rsidRDefault="005B5788">
            <w:pPr>
              <w:jc w:val="left"/>
            </w:pPr>
            <w:proofErr w:type="gramStart"/>
            <w:r>
              <w:rPr>
                <w:rFonts w:hint="eastAsia"/>
              </w:rPr>
              <w:t>董国怀</w:t>
            </w:r>
            <w:proofErr w:type="gramEnd"/>
          </w:p>
        </w:tc>
        <w:tc>
          <w:tcPr>
            <w:tcW w:w="1603" w:type="dxa"/>
          </w:tcPr>
          <w:p w:rsidR="002A5F40" w:rsidRDefault="007728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2A5F40" w:rsidRDefault="00186A28">
            <w:pPr>
              <w:jc w:val="left"/>
            </w:pPr>
            <w:r>
              <w:rPr>
                <w:rFonts w:hint="eastAsia"/>
              </w:rPr>
              <w:t>13859034371</w:t>
            </w:r>
          </w:p>
        </w:tc>
      </w:tr>
      <w:tr w:rsidR="002A5F40">
        <w:trPr>
          <w:trHeight w:val="2445"/>
        </w:trPr>
        <w:tc>
          <w:tcPr>
            <w:tcW w:w="894" w:type="dxa"/>
            <w:vAlign w:val="center"/>
          </w:tcPr>
          <w:p w:rsidR="002A5F40" w:rsidRDefault="0077284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2A5F40" w:rsidRDefault="00772845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D0147E">
              <w:rPr>
                <w:rFonts w:hint="eastAsia"/>
                <w:iCs/>
                <w:szCs w:val="21"/>
              </w:rPr>
              <w:t>住院收费系统</w:t>
            </w:r>
            <w:r w:rsidR="00D0147E">
              <w:rPr>
                <w:rFonts w:hint="eastAsia"/>
                <w:iCs/>
                <w:szCs w:val="21"/>
              </w:rPr>
              <w:t>-</w:t>
            </w:r>
            <w:r w:rsidR="00D0147E">
              <w:rPr>
                <w:rFonts w:hint="eastAsia"/>
                <w:iCs/>
                <w:szCs w:val="21"/>
              </w:rPr>
              <w:t>报表</w:t>
            </w:r>
            <w:r w:rsidR="00D0147E">
              <w:rPr>
                <w:rFonts w:hint="eastAsia"/>
                <w:iCs/>
                <w:szCs w:val="21"/>
              </w:rPr>
              <w:t>-</w:t>
            </w:r>
            <w:r w:rsidR="00D0147E">
              <w:rPr>
                <w:rFonts w:hint="eastAsia"/>
                <w:iCs/>
                <w:szCs w:val="21"/>
              </w:rPr>
              <w:t>住院缴款报表</w:t>
            </w:r>
            <w:r w:rsidR="00D0147E">
              <w:rPr>
                <w:rFonts w:hint="eastAsia"/>
                <w:iCs/>
                <w:szCs w:val="21"/>
              </w:rPr>
              <w:t>-</w:t>
            </w:r>
            <w:r w:rsidR="00D0147E">
              <w:rPr>
                <w:rFonts w:hint="eastAsia"/>
                <w:iCs/>
                <w:szCs w:val="21"/>
              </w:rPr>
              <w:t>住院收费员现金缴款报表</w:t>
            </w:r>
          </w:p>
          <w:p w:rsidR="00D0147E" w:rsidRPr="00D0147E" w:rsidRDefault="00D0147E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 xml:space="preserve">       </w:t>
            </w:r>
            <w:r>
              <w:rPr>
                <w:rFonts w:hint="eastAsia"/>
                <w:iCs/>
                <w:szCs w:val="21"/>
              </w:rPr>
              <w:t>住院收费系统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报表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住院缴款报表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收费员缴款汇总</w:t>
            </w:r>
          </w:p>
          <w:p w:rsidR="002A5F40" w:rsidRDefault="00772845" w:rsidP="00D0147E">
            <w:pPr>
              <w:ind w:left="723" w:hangingChars="343" w:hanging="723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D0147E">
              <w:rPr>
                <w:rFonts w:hint="eastAsia"/>
                <w:iCs/>
                <w:szCs w:val="21"/>
              </w:rPr>
              <w:t xml:space="preserve"> </w:t>
            </w:r>
            <w:r w:rsidR="00D0147E">
              <w:rPr>
                <w:rFonts w:hint="eastAsia"/>
                <w:iCs/>
                <w:szCs w:val="21"/>
              </w:rPr>
              <w:t>以上两张报表在涉及</w:t>
            </w:r>
            <w:proofErr w:type="gramStart"/>
            <w:r w:rsidR="00D0147E">
              <w:rPr>
                <w:rFonts w:hint="eastAsia"/>
                <w:iCs/>
                <w:szCs w:val="21"/>
              </w:rPr>
              <w:t>榕医</w:t>
            </w:r>
            <w:proofErr w:type="gramEnd"/>
            <w:r w:rsidR="00D0147E">
              <w:rPr>
                <w:rFonts w:hint="eastAsia"/>
                <w:iCs/>
                <w:szCs w:val="21"/>
              </w:rPr>
              <w:t>通的病人</w:t>
            </w:r>
            <w:proofErr w:type="gramStart"/>
            <w:r w:rsidR="00D0147E">
              <w:rPr>
                <w:rFonts w:hint="eastAsia"/>
                <w:iCs/>
                <w:szCs w:val="21"/>
              </w:rPr>
              <w:t>做重新</w:t>
            </w:r>
            <w:proofErr w:type="gramEnd"/>
            <w:r w:rsidR="00D0147E">
              <w:rPr>
                <w:rFonts w:hint="eastAsia"/>
                <w:iCs/>
                <w:szCs w:val="21"/>
              </w:rPr>
              <w:t>结算时实收现金</w:t>
            </w:r>
            <w:proofErr w:type="gramStart"/>
            <w:r w:rsidR="00D0147E">
              <w:rPr>
                <w:rFonts w:hint="eastAsia"/>
                <w:iCs/>
                <w:szCs w:val="21"/>
              </w:rPr>
              <w:t>刚好会差病人的榕医</w:t>
            </w:r>
            <w:proofErr w:type="gramEnd"/>
            <w:r w:rsidR="00D0147E">
              <w:rPr>
                <w:rFonts w:hint="eastAsia"/>
                <w:iCs/>
                <w:szCs w:val="21"/>
              </w:rPr>
              <w:t>通余额</w:t>
            </w:r>
          </w:p>
          <w:p w:rsidR="002A5F40" w:rsidRDefault="00772845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AE3BF8">
              <w:rPr>
                <w:rFonts w:hint="eastAsia"/>
                <w:iCs/>
                <w:szCs w:val="21"/>
              </w:rPr>
              <w:t>实收现金须一致</w:t>
            </w:r>
          </w:p>
          <w:p w:rsidR="002A5F40" w:rsidRDefault="00772845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E3792D"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E3792D">
              <w:rPr>
                <w:rFonts w:hint="eastAsia"/>
                <w:iCs/>
                <w:szCs w:val="21"/>
              </w:rPr>
              <w:t>3</w:t>
            </w:r>
            <w:r>
              <w:rPr>
                <w:rFonts w:hint="eastAsia"/>
                <w:iCs/>
                <w:szCs w:val="21"/>
              </w:rPr>
              <w:t>月</w:t>
            </w:r>
            <w:r w:rsidR="00E3792D">
              <w:rPr>
                <w:rFonts w:hint="eastAsia"/>
                <w:iCs/>
                <w:szCs w:val="21"/>
              </w:rPr>
              <w:t>10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2A5F40" w:rsidRDefault="00772845" w:rsidP="00E3792D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E3792D">
              <w:rPr>
                <w:rFonts w:hint="eastAsia"/>
                <w:iCs/>
                <w:szCs w:val="21"/>
              </w:rPr>
              <w:t>财务对账时，报表不一致。</w:t>
            </w:r>
          </w:p>
        </w:tc>
      </w:tr>
      <w:tr w:rsidR="002A5F40">
        <w:trPr>
          <w:trHeight w:val="669"/>
        </w:trPr>
        <w:tc>
          <w:tcPr>
            <w:tcW w:w="1458" w:type="dxa"/>
            <w:gridSpan w:val="2"/>
          </w:tcPr>
          <w:p w:rsidR="002A5F40" w:rsidRDefault="007728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2A5F40" w:rsidRDefault="00772845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2A5F40">
        <w:trPr>
          <w:trHeight w:val="1095"/>
        </w:trPr>
        <w:tc>
          <w:tcPr>
            <w:tcW w:w="894" w:type="dxa"/>
            <w:vAlign w:val="center"/>
          </w:tcPr>
          <w:p w:rsidR="002A5F40" w:rsidRDefault="007728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2A5F40" w:rsidRDefault="002A5F40">
            <w:pPr>
              <w:rPr>
                <w:b/>
                <w:i/>
                <w:szCs w:val="21"/>
              </w:rPr>
            </w:pPr>
          </w:p>
        </w:tc>
      </w:tr>
      <w:tr w:rsidR="002A5F40">
        <w:trPr>
          <w:trHeight w:val="844"/>
        </w:trPr>
        <w:tc>
          <w:tcPr>
            <w:tcW w:w="2157" w:type="dxa"/>
            <w:gridSpan w:val="3"/>
            <w:vAlign w:val="center"/>
          </w:tcPr>
          <w:p w:rsidR="002A5F40" w:rsidRDefault="0077284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2A5F40" w:rsidRDefault="002A5F40">
            <w:pPr>
              <w:rPr>
                <w:b/>
                <w:szCs w:val="21"/>
              </w:rPr>
            </w:pPr>
          </w:p>
        </w:tc>
      </w:tr>
    </w:tbl>
    <w:p w:rsidR="002A5F40" w:rsidRDefault="002A5F40"/>
    <w:p w:rsidR="002A5F40" w:rsidRPr="004C2466" w:rsidRDefault="00772845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4C2466">
        <w:rPr>
          <w:noProof/>
        </w:rPr>
        <w:drawing>
          <wp:inline distT="0" distB="0" distL="0" distR="0">
            <wp:extent cx="1706383" cy="959158"/>
            <wp:effectExtent l="19050" t="0" r="8117" b="0"/>
            <wp:docPr id="13" name="图片 13" descr="C:\Users\西西呀\Documents\Tencent Files\47365030\FileRecv\收费员缴款汇总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西西呀\Documents\Tencent Files\47365030\FileRecv\收费员缴款汇总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366" cy="95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4C2466">
        <w:rPr>
          <w:noProof/>
        </w:rPr>
        <w:drawing>
          <wp:inline distT="0" distB="0" distL="0" distR="0">
            <wp:extent cx="1697483" cy="954156"/>
            <wp:effectExtent l="19050" t="0" r="0" b="0"/>
            <wp:docPr id="14" name="图片 14" descr="C:\Users\西西呀\Documents\Tencent Files\47365030\FileRecv\住院收费员现金缴款报表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西西呀\Documents\Tencent Files\47365030\FileRecv\住院收费员现金缴款报表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330" cy="95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40" w:rsidRDefault="002A5F40"/>
    <w:p w:rsidR="002A5F40" w:rsidRDefault="00772845">
      <w:r>
        <w:rPr>
          <w:rFonts w:hint="eastAsia"/>
        </w:rPr>
        <w:t>跟踪文件：</w:t>
      </w:r>
      <w:r w:rsidR="004C2466">
        <w:t xml:space="preserve"> </w:t>
      </w:r>
      <w:r w:rsidR="004C2466">
        <w:object w:dxaOrig="205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pt;height:41.95pt" o:ole="">
            <v:imagedata r:id="rId9" o:title=""/>
          </v:shape>
          <o:OLEObject Type="Embed" ProgID="Package" ShapeID="_x0000_i1025" DrawAspect="Content" ObjectID="_1644059851" r:id="rId10"/>
        </w:object>
      </w:r>
      <w:r w:rsidR="004C2466">
        <w:rPr>
          <w:rFonts w:hint="eastAsia"/>
        </w:rPr>
        <w:t xml:space="preserve">  </w:t>
      </w:r>
      <w:r w:rsidR="004C2466">
        <w:object w:dxaOrig="2505" w:dyaOrig="840">
          <v:shape id="_x0000_i1026" type="#_x0000_t75" style="width:125.2pt;height:41.95pt" o:ole="">
            <v:imagedata r:id="rId11" o:title=""/>
          </v:shape>
          <o:OLEObject Type="Embed" ProgID="Package" ShapeID="_x0000_i1026" DrawAspect="Content" ObjectID="_1644059852" r:id="rId12"/>
        </w:object>
      </w:r>
    </w:p>
    <w:sectPr w:rsidR="002A5F40" w:rsidSect="002A5F40">
      <w:headerReference w:type="default" r:id="rId13"/>
      <w:footerReference w:type="default" r:id="rId14"/>
      <w:headerReference w:type="first" r:id="rId15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E62" w:rsidRDefault="00835E62" w:rsidP="002A5F40">
      <w:r>
        <w:separator/>
      </w:r>
    </w:p>
  </w:endnote>
  <w:endnote w:type="continuationSeparator" w:id="0">
    <w:p w:rsidR="00835E62" w:rsidRDefault="00835E62" w:rsidP="002A5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40" w:rsidRDefault="00772845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5546E2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5546E2">
      <w:rPr>
        <w:kern w:val="0"/>
        <w:sz w:val="21"/>
        <w:szCs w:val="21"/>
      </w:rPr>
      <w:fldChar w:fldCharType="separate"/>
    </w:r>
    <w:r w:rsidR="004C2466">
      <w:rPr>
        <w:noProof/>
        <w:kern w:val="0"/>
        <w:sz w:val="21"/>
        <w:szCs w:val="21"/>
      </w:rPr>
      <w:t>1</w:t>
    </w:r>
    <w:r w:rsidR="005546E2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5546E2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5546E2">
      <w:rPr>
        <w:kern w:val="0"/>
        <w:sz w:val="21"/>
        <w:szCs w:val="21"/>
      </w:rPr>
      <w:fldChar w:fldCharType="separate"/>
    </w:r>
    <w:r w:rsidR="004C2466">
      <w:rPr>
        <w:noProof/>
        <w:kern w:val="0"/>
        <w:sz w:val="21"/>
        <w:szCs w:val="21"/>
      </w:rPr>
      <w:t>1</w:t>
    </w:r>
    <w:r w:rsidR="005546E2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2A5F40" w:rsidRDefault="002A5F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E62" w:rsidRDefault="00835E62" w:rsidP="002A5F40">
      <w:r>
        <w:separator/>
      </w:r>
    </w:p>
  </w:footnote>
  <w:footnote w:type="continuationSeparator" w:id="0">
    <w:p w:rsidR="00835E62" w:rsidRDefault="00835E62" w:rsidP="002A5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40" w:rsidRDefault="002A5F40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2A5F40" w:rsidRDefault="002A5F40">
    <w:pPr>
      <w:pStyle w:val="a5"/>
      <w:jc w:val="right"/>
    </w:pPr>
  </w:p>
  <w:p w:rsidR="002A5F40" w:rsidRDefault="002A5F40">
    <w:pPr>
      <w:pStyle w:val="a5"/>
      <w:jc w:val="right"/>
    </w:pPr>
  </w:p>
  <w:p w:rsidR="002A5F40" w:rsidRDefault="002A5F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40" w:rsidRDefault="002A5F40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2A5F40">
      <w:trPr>
        <w:cantSplit/>
      </w:trPr>
      <w:tc>
        <w:tcPr>
          <w:tcW w:w="1158" w:type="dxa"/>
        </w:tcPr>
        <w:p w:rsidR="002A5F40" w:rsidRDefault="00772845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2A5F40" w:rsidRDefault="00772845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2A5F40" w:rsidRDefault="00772845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2A5F40" w:rsidRDefault="00772845">
          <w:pPr>
            <w:pStyle w:val="a5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2A5F40" w:rsidRDefault="002A5F4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43A0B"/>
    <w:rsid w:val="00092CA7"/>
    <w:rsid w:val="00166A42"/>
    <w:rsid w:val="00180AA3"/>
    <w:rsid w:val="00186A28"/>
    <w:rsid w:val="002502B9"/>
    <w:rsid w:val="00267A8B"/>
    <w:rsid w:val="002A5F40"/>
    <w:rsid w:val="002E7C2C"/>
    <w:rsid w:val="004C2466"/>
    <w:rsid w:val="004F434B"/>
    <w:rsid w:val="0053503B"/>
    <w:rsid w:val="005546E2"/>
    <w:rsid w:val="00565C9E"/>
    <w:rsid w:val="005B5788"/>
    <w:rsid w:val="00683387"/>
    <w:rsid w:val="00727683"/>
    <w:rsid w:val="00772845"/>
    <w:rsid w:val="0080252E"/>
    <w:rsid w:val="00835E62"/>
    <w:rsid w:val="00857FF9"/>
    <w:rsid w:val="00891E03"/>
    <w:rsid w:val="008B25BE"/>
    <w:rsid w:val="00902F3F"/>
    <w:rsid w:val="00A54198"/>
    <w:rsid w:val="00A91231"/>
    <w:rsid w:val="00AE3BF8"/>
    <w:rsid w:val="00BE3A64"/>
    <w:rsid w:val="00CB26C1"/>
    <w:rsid w:val="00CC4BDD"/>
    <w:rsid w:val="00D0147E"/>
    <w:rsid w:val="00D63478"/>
    <w:rsid w:val="00DA589E"/>
    <w:rsid w:val="00DB44A6"/>
    <w:rsid w:val="00E3792D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F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A5F40"/>
    <w:rPr>
      <w:sz w:val="18"/>
      <w:szCs w:val="18"/>
    </w:rPr>
  </w:style>
  <w:style w:type="paragraph" w:styleId="a4">
    <w:name w:val="footer"/>
    <w:basedOn w:val="a"/>
    <w:qFormat/>
    <w:rsid w:val="002A5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A5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2A5F40"/>
    <w:rPr>
      <w:b/>
      <w:bCs/>
    </w:rPr>
  </w:style>
  <w:style w:type="character" w:styleId="a7">
    <w:name w:val="FollowedHyperlink"/>
    <w:basedOn w:val="a0"/>
    <w:qFormat/>
    <w:rsid w:val="002A5F40"/>
    <w:rPr>
      <w:color w:val="0000FF"/>
      <w:sz w:val="18"/>
      <w:szCs w:val="18"/>
      <w:u w:val="none"/>
    </w:rPr>
  </w:style>
  <w:style w:type="character" w:styleId="a8">
    <w:name w:val="Hyperlink"/>
    <w:basedOn w:val="a0"/>
    <w:rsid w:val="002A5F40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2A5F40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2A5F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西西呀</cp:lastModifiedBy>
  <cp:revision>11</cp:revision>
  <dcterms:created xsi:type="dcterms:W3CDTF">2016-09-20T06:32:00Z</dcterms:created>
  <dcterms:modified xsi:type="dcterms:W3CDTF">2020-02-24T06:31:00Z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